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0" w:lineRule="atLeast"/>
        <w:jc w:val="center"/>
        <w:rPr>
          <w:rFonts w:hint="eastAsia" w:ascii="宋体" w:hAnsi="宋体" w:eastAsia="宋体" w:cs="宋体"/>
          <w:color w:val="000000"/>
          <w:kern w:val="0"/>
          <w:szCs w:val="21"/>
        </w:rPr>
      </w:pPr>
      <w:r>
        <w:rPr>
          <w:rFonts w:hint="eastAsia" w:ascii="宋体" w:hAnsi="宋体" w:eastAsia="宋体" w:cs="宋体"/>
          <w:b/>
          <w:bCs/>
          <w:color w:val="000000"/>
          <w:kern w:val="0"/>
          <w:sz w:val="44"/>
          <w:szCs w:val="44"/>
        </w:rPr>
        <w:t xml:space="preserve"> </w:t>
      </w:r>
      <w:r>
        <w:rPr>
          <w:rFonts w:ascii="宋体" w:hAnsi="宋体" w:eastAsia="宋体" w:cs="宋体"/>
          <w:b/>
          <w:bCs/>
          <w:color w:val="000000"/>
          <w:kern w:val="0"/>
          <w:sz w:val="44"/>
          <w:szCs w:val="44"/>
        </w:rPr>
        <w:t>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szCs w:val="44"/>
        </w:rPr>
        <w:t>年度樟树市机关事务局部门决算</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b/>
          <w:bCs/>
          <w:color w:val="000000"/>
          <w:kern w:val="0"/>
          <w:szCs w:val="21"/>
        </w:rPr>
        <w:t> </w:t>
      </w:r>
    </w:p>
    <w:p>
      <w:pPr>
        <w:widowControl/>
        <w:shd w:val="clear" w:color="auto" w:fill="FFFFFF"/>
        <w:spacing w:line="6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36"/>
          <w:szCs w:val="36"/>
        </w:rPr>
        <w:t>目</w:t>
      </w:r>
      <w:r>
        <w:rPr>
          <w:rFonts w:ascii="宋体" w:hAnsi="宋体" w:eastAsia="宋体" w:cs="宋体"/>
          <w:b/>
          <w:bCs/>
          <w:color w:val="000000"/>
          <w:kern w:val="0"/>
          <w:sz w:val="44"/>
          <w:szCs w:val="44"/>
        </w:rPr>
        <w:t>　　</w:t>
      </w:r>
      <w:r>
        <w:rPr>
          <w:rFonts w:ascii="宋体" w:hAnsi="宋体" w:eastAsia="宋体" w:cs="宋体"/>
          <w:b/>
          <w:bCs/>
          <w:color w:val="000000"/>
          <w:kern w:val="0"/>
          <w:sz w:val="44"/>
        </w:rPr>
        <w:t> </w:t>
      </w:r>
      <w:r>
        <w:rPr>
          <w:rFonts w:ascii="宋体" w:hAnsi="宋体" w:eastAsia="宋体" w:cs="宋体"/>
          <w:b/>
          <w:bCs/>
          <w:color w:val="000000"/>
          <w:kern w:val="0"/>
          <w:sz w:val="36"/>
          <w:szCs w:val="36"/>
        </w:rPr>
        <w:t>录</w:t>
      </w:r>
    </w:p>
    <w:p>
      <w:pPr>
        <w:widowControl/>
        <w:shd w:val="clear" w:color="auto" w:fill="FFFFFF"/>
        <w:spacing w:line="6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第一部分概况</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一、主要职能</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二、部门决算单位构成</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第二部分</w:t>
      </w:r>
      <w:r>
        <w:rPr>
          <w:rFonts w:ascii="宋体" w:hAnsi="宋体" w:eastAsia="宋体" w:cs="宋体"/>
          <w:b/>
          <w:bCs/>
          <w:color w:val="000000"/>
          <w:kern w:val="0"/>
          <w:sz w:val="44"/>
        </w:rPr>
        <w:t> </w:t>
      </w:r>
      <w:r>
        <w:rPr>
          <w:rFonts w:ascii="宋体" w:hAnsi="宋体" w:eastAsia="宋体" w:cs="宋体"/>
          <w:b/>
          <w:bCs/>
          <w:color w:val="000000"/>
          <w:kern w:val="0"/>
          <w:sz w:val="44"/>
          <w:szCs w:val="44"/>
        </w:rPr>
        <w:t>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rPr>
        <w:t> </w:t>
      </w:r>
      <w:r>
        <w:rPr>
          <w:rFonts w:ascii="宋体" w:hAnsi="宋体" w:eastAsia="宋体" w:cs="宋体"/>
          <w:b/>
          <w:bCs/>
          <w:color w:val="000000"/>
          <w:kern w:val="0"/>
          <w:sz w:val="28"/>
          <w:szCs w:val="28"/>
        </w:rPr>
        <w:t>年度部门决算表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一、收入支出决算总表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二、收入决算表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三、支出决算表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四、财政拨款收入支出决算总表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五、一般公共预算财政拨款支出决算表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六、一般公共预算财政拨款基本支出决算表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七、一般公共预算财政拨款“三公”经费支出决算表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八、政府性基金预算财政拨款收入支出决算表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九、国有资产占用情况表</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第三部分</w:t>
      </w:r>
      <w:r>
        <w:rPr>
          <w:rFonts w:ascii="宋体" w:hAnsi="宋体" w:eastAsia="宋体" w:cs="宋体"/>
          <w:b/>
          <w:bCs/>
          <w:color w:val="000000"/>
          <w:kern w:val="0"/>
          <w:sz w:val="44"/>
        </w:rPr>
        <w:t> </w:t>
      </w:r>
      <w:r>
        <w:rPr>
          <w:rFonts w:ascii="宋体" w:hAnsi="宋体" w:eastAsia="宋体" w:cs="宋体"/>
          <w:b/>
          <w:bCs/>
          <w:color w:val="000000"/>
          <w:kern w:val="0"/>
          <w:sz w:val="44"/>
          <w:szCs w:val="44"/>
        </w:rPr>
        <w:t>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28"/>
          <w:szCs w:val="28"/>
        </w:rPr>
        <w:t>年度部门决算情况和重要事项说明</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第四部分名词解释</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第一部分部门概况</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一、主要职能</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1、贯彻落实国家有关价格法律，法规，规章和方针政策，全面履行市委、市政府赋予机关事务局对机关大院后勤管理职责。</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2、负责机关1</w:t>
      </w:r>
      <w:r>
        <w:rPr>
          <w:rFonts w:hint="eastAsia" w:ascii="宋体" w:hAnsi="宋体" w:eastAsia="宋体" w:cs="宋体"/>
          <w:color w:val="000000"/>
          <w:kern w:val="0"/>
          <w:sz w:val="28"/>
          <w:szCs w:val="28"/>
          <w:lang w:val="en-US" w:eastAsia="zh-CN"/>
        </w:rPr>
        <w:t>0</w:t>
      </w:r>
      <w:r>
        <w:rPr>
          <w:rFonts w:ascii="宋体" w:hAnsi="宋体" w:eastAsia="宋体" w:cs="宋体"/>
          <w:color w:val="000000"/>
          <w:kern w:val="0"/>
          <w:sz w:val="28"/>
          <w:szCs w:val="28"/>
        </w:rPr>
        <w:t>个预算单位的经费代管理工作。</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3、负责机关大院房地产的统一规划，统一管理。承办机关大院基本建设维修项目计划、审批和实施工作，以及机关公用部分房屋和水电设施的维修、保养工作。</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4、负责维护大院的治安秩序，消防管理工作和大院的环境卫生管理，搞好美化、绿化等工作。</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5、负责全市公共机构节能减排工作。</w:t>
      </w:r>
    </w:p>
    <w:p>
      <w:pPr>
        <w:widowControl/>
        <w:shd w:val="clear" w:color="auto" w:fill="FFFFFF"/>
        <w:spacing w:line="500" w:lineRule="atLeast"/>
        <w:ind w:firstLine="630"/>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二、部门</w:t>
      </w:r>
      <w:r>
        <w:rPr>
          <w:rFonts w:hint="eastAsia" w:ascii="宋体" w:hAnsi="宋体" w:eastAsia="宋体" w:cs="宋体"/>
          <w:b/>
          <w:bCs/>
          <w:color w:val="000000"/>
          <w:kern w:val="0"/>
          <w:sz w:val="28"/>
          <w:szCs w:val="28"/>
        </w:rPr>
        <w:t>基本情况</w:t>
      </w:r>
    </w:p>
    <w:p>
      <w:pPr>
        <w:widowControl/>
        <w:shd w:val="clear" w:color="auto" w:fill="FFFFFF"/>
        <w:ind w:firstLine="479"/>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纳入本套部门决算汇编范围的单位共11个，包括老年诗书画协会、党政群机关老龄委、钓鱼协会、乒乓球俱乐部、妇委会、市老年体协、老科协、市门球协会、党政机关老年体协、柔力球协会等11个独立编制单位。</w:t>
      </w:r>
    </w:p>
    <w:p>
      <w:pPr>
        <w:widowControl/>
        <w:shd w:val="clear" w:color="auto" w:fill="FFFFFF"/>
        <w:ind w:firstLine="479"/>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年年末编制人数</w:t>
      </w:r>
      <w:r>
        <w:rPr>
          <w:rFonts w:hint="eastAsia" w:ascii="宋体" w:hAnsi="宋体" w:eastAsia="宋体" w:cs="宋体"/>
          <w:color w:val="000000"/>
          <w:kern w:val="0"/>
          <w:sz w:val="28"/>
          <w:szCs w:val="28"/>
          <w:lang w:val="en-US" w:eastAsia="zh-CN"/>
        </w:rPr>
        <w:t>20</w:t>
      </w:r>
      <w:r>
        <w:rPr>
          <w:rFonts w:ascii="宋体" w:hAnsi="宋体" w:eastAsia="宋体" w:cs="宋体"/>
          <w:color w:val="000000"/>
          <w:kern w:val="0"/>
          <w:sz w:val="28"/>
          <w:szCs w:val="28"/>
        </w:rPr>
        <w:t>人，其中：参公编</w:t>
      </w:r>
      <w:r>
        <w:rPr>
          <w:rFonts w:hint="eastAsia" w:ascii="宋体" w:hAnsi="宋体" w:eastAsia="宋体" w:cs="宋体"/>
          <w:color w:val="000000"/>
          <w:kern w:val="0"/>
          <w:sz w:val="28"/>
          <w:szCs w:val="28"/>
          <w:lang w:val="en-US" w:eastAsia="zh-CN"/>
        </w:rPr>
        <w:t>20</w:t>
      </w:r>
      <w:r>
        <w:rPr>
          <w:rFonts w:ascii="宋体" w:hAnsi="宋体" w:eastAsia="宋体" w:cs="宋体"/>
          <w:color w:val="000000"/>
          <w:kern w:val="0"/>
          <w:sz w:val="28"/>
          <w:szCs w:val="28"/>
        </w:rPr>
        <w:t>人</w:t>
      </w:r>
      <w:r>
        <w:rPr>
          <w:rFonts w:hint="eastAsia" w:ascii="宋体" w:hAnsi="宋体" w:eastAsia="宋体" w:cs="宋体"/>
          <w:color w:val="000000"/>
          <w:kern w:val="0"/>
          <w:sz w:val="28"/>
          <w:szCs w:val="28"/>
        </w:rPr>
        <w:t>；年末</w:t>
      </w:r>
      <w:r>
        <w:rPr>
          <w:rFonts w:ascii="宋体" w:hAnsi="宋体" w:eastAsia="宋体" w:cs="宋体"/>
          <w:color w:val="000000"/>
          <w:kern w:val="0"/>
          <w:sz w:val="28"/>
          <w:szCs w:val="28"/>
        </w:rPr>
        <w:t>实有人数为</w:t>
      </w:r>
      <w:r>
        <w:rPr>
          <w:rFonts w:hint="eastAsia" w:ascii="宋体" w:hAnsi="宋体" w:eastAsia="宋体" w:cs="宋体"/>
          <w:color w:val="000000"/>
          <w:kern w:val="0"/>
          <w:sz w:val="28"/>
          <w:szCs w:val="28"/>
        </w:rPr>
        <w:t>4</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人，其中：在职人员</w:t>
      </w:r>
      <w:r>
        <w:rPr>
          <w:rFonts w:hint="eastAsia" w:ascii="宋体" w:hAnsi="宋体" w:eastAsia="宋体" w:cs="宋体"/>
          <w:color w:val="000000"/>
          <w:kern w:val="0"/>
          <w:sz w:val="28"/>
          <w:szCs w:val="28"/>
          <w:lang w:val="en-US" w:eastAsia="zh-CN"/>
        </w:rPr>
        <w:t>20</w:t>
      </w:r>
      <w:r>
        <w:rPr>
          <w:rFonts w:ascii="宋体" w:hAnsi="宋体" w:eastAsia="宋体" w:cs="宋体"/>
          <w:color w:val="000000"/>
          <w:kern w:val="0"/>
          <w:sz w:val="28"/>
          <w:szCs w:val="28"/>
        </w:rPr>
        <w:t>人，退休人员</w:t>
      </w:r>
      <w:r>
        <w:rPr>
          <w:rFonts w:hint="eastAsia" w:ascii="宋体" w:hAnsi="宋体" w:eastAsia="宋体" w:cs="宋体"/>
          <w:color w:val="000000"/>
          <w:kern w:val="0"/>
          <w:sz w:val="28"/>
          <w:szCs w:val="28"/>
        </w:rPr>
        <w:t>2</w:t>
      </w:r>
      <w:r>
        <w:rPr>
          <w:rFonts w:hint="eastAsia" w:ascii="宋体" w:hAnsi="宋体" w:eastAsia="宋体" w:cs="宋体"/>
          <w:color w:val="000000"/>
          <w:kern w:val="0"/>
          <w:sz w:val="28"/>
          <w:szCs w:val="28"/>
          <w:lang w:val="en-US" w:eastAsia="zh-CN"/>
        </w:rPr>
        <w:t>5</w:t>
      </w:r>
      <w:r>
        <w:rPr>
          <w:rFonts w:ascii="宋体" w:hAnsi="宋体" w:eastAsia="宋体" w:cs="宋体"/>
          <w:color w:val="000000"/>
          <w:kern w:val="0"/>
          <w:sz w:val="28"/>
          <w:szCs w:val="28"/>
        </w:rPr>
        <w:t>人,临时工3人</w:t>
      </w:r>
      <w:r>
        <w:rPr>
          <w:rFonts w:hint="eastAsia" w:ascii="宋体" w:hAnsi="宋体" w:eastAsia="宋体" w:cs="宋体"/>
          <w:color w:val="000000"/>
          <w:kern w:val="0"/>
          <w:sz w:val="28"/>
          <w:szCs w:val="28"/>
        </w:rPr>
        <w:t>。</w:t>
      </w: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第二部分</w:t>
      </w:r>
      <w:r>
        <w:rPr>
          <w:rFonts w:ascii="宋体" w:hAnsi="宋体" w:eastAsia="宋体" w:cs="宋体"/>
          <w:b/>
          <w:bCs/>
          <w:color w:val="000000"/>
          <w:kern w:val="0"/>
          <w:sz w:val="44"/>
          <w:szCs w:val="44"/>
        </w:rPr>
        <w:t> 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rPr>
        <w:t> </w:t>
      </w:r>
      <w:r>
        <w:rPr>
          <w:rFonts w:ascii="宋体" w:hAnsi="宋体" w:eastAsia="宋体" w:cs="宋体"/>
          <w:b/>
          <w:bCs/>
          <w:color w:val="000000"/>
          <w:kern w:val="0"/>
          <w:sz w:val="28"/>
          <w:szCs w:val="28"/>
        </w:rPr>
        <w:t>年度部门决算表</w:t>
      </w:r>
    </w:p>
    <w:p>
      <w:pPr>
        <w:widowControl/>
        <w:shd w:val="clear" w:color="auto" w:fill="FFFFFF"/>
        <w:spacing w:line="500" w:lineRule="atLeast"/>
        <w:ind w:firstLine="420"/>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ind w:firstLine="140"/>
        <w:jc w:val="center"/>
        <w:rPr>
          <w:rFonts w:hint="eastAsia" w:ascii="宋体" w:hAnsi="宋体" w:eastAsia="宋体" w:cs="宋体"/>
          <w:color w:val="000000"/>
          <w:kern w:val="0"/>
          <w:szCs w:val="21"/>
        </w:rPr>
      </w:pPr>
      <w:r>
        <w:rPr>
          <w:rFonts w:ascii="宋体" w:hAnsi="宋体" w:eastAsia="宋体" w:cs="宋体"/>
          <w:color w:val="000000"/>
          <w:kern w:val="0"/>
          <w:sz w:val="28"/>
          <w:szCs w:val="28"/>
        </w:rPr>
        <w:t>收入支出决算总表</w:t>
      </w:r>
    </w:p>
    <w:p>
      <w:pPr>
        <w:widowControl/>
        <w:shd w:val="clear" w:color="auto" w:fill="FFFFFF"/>
        <w:jc w:val="left"/>
        <w:rPr>
          <w:rFonts w:hint="eastAsia" w:ascii="宋体" w:hAnsi="宋体" w:eastAsia="宋体" w:cs="宋体"/>
          <w:color w:val="000000"/>
          <w:kern w:val="0"/>
          <w:szCs w:val="21"/>
        </w:rPr>
      </w:pPr>
      <w:r>
        <w:rPr>
          <w:rFonts w:ascii="宋体" w:hAnsi="宋体" w:eastAsia="宋体" w:cs="宋体"/>
          <w:color w:val="000000"/>
          <w:kern w:val="0"/>
          <w:sz w:val="22"/>
        </w:rPr>
        <w:t>　</w:t>
      </w:r>
    </w:p>
    <w:tbl>
      <w:tblPr>
        <w:tblStyle w:val="5"/>
        <w:tblW w:w="8670" w:type="dxa"/>
        <w:tblInd w:w="93" w:type="dxa"/>
        <w:shd w:val="clear" w:color="auto" w:fill="FFFFFF"/>
        <w:tblLayout w:type="fixed"/>
        <w:tblCellMar>
          <w:top w:w="0" w:type="dxa"/>
          <w:left w:w="0" w:type="dxa"/>
          <w:bottom w:w="0" w:type="dxa"/>
          <w:right w:w="0" w:type="dxa"/>
        </w:tblCellMar>
      </w:tblPr>
      <w:tblGrid>
        <w:gridCol w:w="3020"/>
        <w:gridCol w:w="640"/>
        <w:gridCol w:w="1000"/>
        <w:gridCol w:w="2370"/>
        <w:gridCol w:w="520"/>
        <w:gridCol w:w="1120"/>
      </w:tblGrid>
      <w:tr>
        <w:tblPrEx>
          <w:shd w:val="clear" w:color="auto" w:fill="FFFFFF"/>
          <w:tblLayout w:type="fixed"/>
          <w:tblCellMar>
            <w:top w:w="0" w:type="dxa"/>
            <w:left w:w="0" w:type="dxa"/>
            <w:bottom w:w="0" w:type="dxa"/>
            <w:right w:w="0" w:type="dxa"/>
          </w:tblCellMar>
        </w:tblPrEx>
        <w:trPr>
          <w:trHeight w:val="255" w:hRule="atLeast"/>
        </w:trPr>
        <w:tc>
          <w:tcPr>
            <w:tcW w:w="302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64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100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237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1640" w:type="dxa"/>
            <w:gridSpan w:val="2"/>
            <w:tcBorders>
              <w:top w:val="nil"/>
              <w:left w:val="nil"/>
              <w:bottom w:val="nil"/>
              <w:right w:val="nil"/>
            </w:tcBorders>
            <w:shd w:val="clear" w:color="auto" w:fill="auto"/>
            <w:noWrap/>
            <w:tcMar>
              <w:top w:w="0" w:type="dxa"/>
              <w:left w:w="108" w:type="dxa"/>
              <w:bottom w:w="0" w:type="dxa"/>
              <w:right w:w="108" w:type="dxa"/>
            </w:tcMar>
            <w:vAlign w:val="bottom"/>
          </w:tcPr>
          <w:p>
            <w:pPr>
              <w:widowControl/>
              <w:jc w:val="center"/>
              <w:rPr>
                <w:rFonts w:hint="eastAsia" w:ascii="宋体" w:hAnsi="宋体" w:eastAsia="宋体" w:cs="宋体"/>
                <w:kern w:val="0"/>
                <w:sz w:val="24"/>
                <w:szCs w:val="24"/>
              </w:rPr>
            </w:pPr>
            <w:r>
              <w:rPr>
                <w:rFonts w:ascii="宋体" w:hAnsi="宋体" w:eastAsia="宋体" w:cs="宋体"/>
                <w:color w:val="000000"/>
                <w:kern w:val="0"/>
                <w:sz w:val="20"/>
                <w:szCs w:val="20"/>
              </w:rPr>
              <w:t>公开01表</w:t>
            </w:r>
          </w:p>
        </w:tc>
      </w:tr>
      <w:tr>
        <w:tblPrEx>
          <w:tblLayout w:type="fixed"/>
          <w:tblCellMar>
            <w:top w:w="0" w:type="dxa"/>
            <w:left w:w="0" w:type="dxa"/>
            <w:bottom w:w="0" w:type="dxa"/>
            <w:right w:w="0" w:type="dxa"/>
          </w:tblCellMar>
        </w:tblPrEx>
        <w:trPr>
          <w:trHeight w:val="270" w:hRule="atLeast"/>
        </w:trPr>
        <w:tc>
          <w:tcPr>
            <w:tcW w:w="302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color w:val="000000"/>
                <w:kern w:val="0"/>
                <w:sz w:val="20"/>
                <w:szCs w:val="20"/>
              </w:rPr>
              <w:t>编制单位：</w:t>
            </w:r>
            <w:r>
              <w:rPr>
                <w:rFonts w:hint="eastAsia" w:ascii="宋体" w:hAnsi="宋体" w:eastAsia="宋体" w:cs="宋体"/>
                <w:color w:val="000000"/>
                <w:kern w:val="0"/>
                <w:sz w:val="20"/>
                <w:szCs w:val="20"/>
              </w:rPr>
              <w:t>樟树市机关事务局</w:t>
            </w:r>
          </w:p>
        </w:tc>
        <w:tc>
          <w:tcPr>
            <w:tcW w:w="1640" w:type="dxa"/>
            <w:gridSpan w:val="2"/>
            <w:tcBorders>
              <w:top w:val="nil"/>
              <w:left w:val="nil"/>
              <w:bottom w:val="single" w:color="000000" w:sz="8" w:space="0"/>
              <w:right w:val="nil"/>
            </w:tcBorders>
            <w:shd w:val="clear" w:color="auto" w:fill="auto"/>
            <w:noWrap/>
            <w:tcMar>
              <w:top w:w="0" w:type="dxa"/>
              <w:left w:w="108" w:type="dxa"/>
              <w:bottom w:w="0" w:type="dxa"/>
              <w:right w:w="108" w:type="dxa"/>
            </w:tcMar>
            <w:vAlign w:val="bottom"/>
          </w:tcPr>
          <w:p>
            <w:pPr>
              <w:widowControl/>
              <w:ind w:firstLine="500" w:firstLineChars="250"/>
              <w:rPr>
                <w:rFonts w:hint="eastAsia" w:ascii="宋体" w:hAnsi="宋体" w:eastAsia="宋体" w:cs="宋体"/>
                <w:kern w:val="0"/>
                <w:sz w:val="24"/>
                <w:szCs w:val="24"/>
              </w:rPr>
            </w:pPr>
            <w:r>
              <w:rPr>
                <w:rFonts w:ascii="宋体" w:hAnsi="宋体" w:eastAsia="宋体" w:cs="宋体"/>
                <w:color w:val="000000"/>
                <w:kern w:val="0"/>
                <w:sz w:val="20"/>
                <w:szCs w:val="20"/>
              </w:rPr>
              <w:t>201</w:t>
            </w:r>
            <w:r>
              <w:rPr>
                <w:rFonts w:hint="eastAsia" w:ascii="宋体" w:hAnsi="宋体" w:eastAsia="宋体" w:cs="宋体"/>
                <w:color w:val="000000"/>
                <w:kern w:val="0"/>
                <w:sz w:val="20"/>
                <w:szCs w:val="20"/>
                <w:lang w:val="en-US" w:eastAsia="zh-CN"/>
              </w:rPr>
              <w:t>8</w:t>
            </w:r>
            <w:r>
              <w:rPr>
                <w:rFonts w:ascii="宋体" w:hAnsi="宋体" w:eastAsia="宋体" w:cs="宋体"/>
                <w:color w:val="000000"/>
                <w:kern w:val="0"/>
                <w:sz w:val="20"/>
                <w:szCs w:val="20"/>
              </w:rPr>
              <w:t>年度</w:t>
            </w:r>
          </w:p>
        </w:tc>
        <w:tc>
          <w:tcPr>
            <w:tcW w:w="237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1640" w:type="dxa"/>
            <w:gridSpan w:val="2"/>
            <w:tcBorders>
              <w:top w:val="nil"/>
              <w:left w:val="nil"/>
              <w:bottom w:val="single" w:color="000000" w:sz="8" w:space="0"/>
              <w:right w:val="nil"/>
            </w:tcBorders>
            <w:shd w:val="clear" w:color="auto" w:fill="auto"/>
            <w:noWrap/>
            <w:tcMar>
              <w:top w:w="0" w:type="dxa"/>
              <w:left w:w="108" w:type="dxa"/>
              <w:bottom w:w="0" w:type="dxa"/>
              <w:right w:w="108" w:type="dxa"/>
            </w:tcMar>
            <w:vAlign w:val="bottom"/>
          </w:tcPr>
          <w:p>
            <w:pPr>
              <w:widowControl/>
              <w:jc w:val="center"/>
              <w:rPr>
                <w:rFonts w:hint="eastAsia" w:ascii="宋体" w:hAnsi="宋体" w:eastAsia="宋体" w:cs="宋体"/>
                <w:kern w:val="0"/>
                <w:sz w:val="24"/>
                <w:szCs w:val="24"/>
              </w:rPr>
            </w:pPr>
            <w:r>
              <w:rPr>
                <w:rFonts w:ascii="宋体" w:hAnsi="宋体" w:eastAsia="宋体" w:cs="宋体"/>
                <w:color w:val="000000"/>
                <w:kern w:val="0"/>
                <w:sz w:val="20"/>
                <w:szCs w:val="20"/>
              </w:rPr>
              <w:t>金额单位：万元</w:t>
            </w:r>
          </w:p>
        </w:tc>
      </w:tr>
      <w:tr>
        <w:tblPrEx>
          <w:tblLayout w:type="fixed"/>
          <w:tblCellMar>
            <w:top w:w="0" w:type="dxa"/>
            <w:left w:w="0" w:type="dxa"/>
            <w:bottom w:w="0" w:type="dxa"/>
            <w:right w:w="0" w:type="dxa"/>
          </w:tblCellMar>
        </w:tblPrEx>
        <w:trPr>
          <w:trHeight w:val="278" w:hRule="atLeast"/>
        </w:trPr>
        <w:tc>
          <w:tcPr>
            <w:tcW w:w="4660" w:type="dxa"/>
            <w:gridSpan w:val="3"/>
            <w:tcBorders>
              <w:top w:val="single" w:color="000000" w:sz="8" w:space="0"/>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收　　</w:t>
            </w:r>
            <w:r>
              <w:rPr>
                <w:rFonts w:ascii="宋体" w:hAnsi="宋体" w:eastAsia="宋体" w:cs="宋体"/>
                <w:color w:val="000000"/>
                <w:kern w:val="0"/>
                <w:sz w:val="18"/>
              </w:rPr>
              <w:t> </w:t>
            </w:r>
            <w:r>
              <w:rPr>
                <w:rFonts w:ascii="宋体" w:hAnsi="宋体" w:eastAsia="宋体" w:cs="宋体"/>
                <w:color w:val="000000"/>
                <w:kern w:val="0"/>
                <w:sz w:val="18"/>
                <w:szCs w:val="18"/>
              </w:rPr>
              <w:t>入</w:t>
            </w:r>
          </w:p>
        </w:tc>
        <w:tc>
          <w:tcPr>
            <w:tcW w:w="4010" w:type="dxa"/>
            <w:gridSpan w:val="3"/>
            <w:tcBorders>
              <w:top w:val="single" w:color="000000" w:sz="8" w:space="0"/>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支　　</w:t>
            </w:r>
            <w:r>
              <w:rPr>
                <w:rFonts w:ascii="宋体" w:hAnsi="宋体" w:eastAsia="宋体" w:cs="宋体"/>
                <w:color w:val="000000"/>
                <w:kern w:val="0"/>
                <w:sz w:val="18"/>
              </w:rPr>
              <w:t> </w:t>
            </w:r>
            <w:r>
              <w:rPr>
                <w:rFonts w:ascii="宋体" w:hAnsi="宋体" w:eastAsia="宋体" w:cs="宋体"/>
                <w:color w:val="000000"/>
                <w:kern w:val="0"/>
                <w:sz w:val="18"/>
                <w:szCs w:val="18"/>
              </w:rPr>
              <w:t>出</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项　 </w:t>
            </w:r>
            <w:r>
              <w:rPr>
                <w:rFonts w:ascii="宋体" w:hAnsi="宋体" w:eastAsia="宋体" w:cs="宋体"/>
                <w:color w:val="000000"/>
                <w:kern w:val="0"/>
                <w:sz w:val="18"/>
              </w:rPr>
              <w:t> </w:t>
            </w:r>
            <w:r>
              <w:rPr>
                <w:rFonts w:ascii="宋体" w:hAnsi="宋体" w:eastAsia="宋体" w:cs="宋体"/>
                <w:color w:val="000000"/>
                <w:kern w:val="0"/>
                <w:sz w:val="18"/>
                <w:szCs w:val="18"/>
              </w:rPr>
              <w:t>目</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行次</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决算数</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项目（按功能分类）</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行次</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决算数</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栏　 </w:t>
            </w:r>
            <w:r>
              <w:rPr>
                <w:rFonts w:ascii="宋体" w:hAnsi="宋体" w:eastAsia="宋体" w:cs="宋体"/>
                <w:color w:val="000000"/>
                <w:kern w:val="0"/>
                <w:sz w:val="18"/>
              </w:rPr>
              <w:t> </w:t>
            </w:r>
            <w:r>
              <w:rPr>
                <w:rFonts w:ascii="宋体" w:hAnsi="宋体" w:eastAsia="宋体" w:cs="宋体"/>
                <w:color w:val="000000"/>
                <w:kern w:val="0"/>
                <w:sz w:val="18"/>
                <w:szCs w:val="18"/>
              </w:rPr>
              <w:t>次</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center"/>
              <w:rPr>
                <w:rFonts w:ascii="宋体" w:hAnsi="宋体" w:eastAsia="宋体" w:cs="Arial"/>
                <w:color w:val="000000"/>
                <w:sz w:val="18"/>
                <w:szCs w:val="18"/>
              </w:rPr>
            </w:pPr>
            <w:r>
              <w:rPr>
                <w:rFonts w:hint="eastAsia" w:cs="Arial"/>
                <w:color w:val="000000"/>
                <w:sz w:val="18"/>
                <w:szCs w:val="18"/>
              </w:rPr>
              <w:t>3</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栏　 </w:t>
            </w:r>
            <w:r>
              <w:rPr>
                <w:rFonts w:ascii="宋体" w:hAnsi="宋体" w:eastAsia="宋体" w:cs="宋体"/>
                <w:color w:val="000000"/>
                <w:kern w:val="0"/>
                <w:sz w:val="18"/>
              </w:rPr>
              <w:t> </w:t>
            </w:r>
            <w:r>
              <w:rPr>
                <w:rFonts w:ascii="宋体" w:hAnsi="宋体" w:eastAsia="宋体" w:cs="宋体"/>
                <w:color w:val="000000"/>
                <w:kern w:val="0"/>
                <w:sz w:val="18"/>
                <w:szCs w:val="18"/>
              </w:rPr>
              <w:t>次</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center"/>
              <w:rPr>
                <w:rFonts w:ascii="宋体" w:hAnsi="宋体" w:eastAsia="宋体" w:cs="Arial"/>
                <w:color w:val="000000"/>
                <w:sz w:val="18"/>
                <w:szCs w:val="18"/>
              </w:rPr>
            </w:pPr>
            <w:r>
              <w:rPr>
                <w:rFonts w:hint="eastAsia" w:cs="Arial"/>
                <w:color w:val="000000"/>
                <w:sz w:val="18"/>
                <w:szCs w:val="18"/>
              </w:rPr>
              <w:t>6</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一、财政拨款收入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585.76</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一、一般公共服务支出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28</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585.76</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其中：政府性基金预算财政拨款</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二、外交支出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29</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二、上级补助收入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三、国防支出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30</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三、事业收入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四、公共安全支出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31</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四、经营收入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五、教育支出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32</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五、附属单位上缴收入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6</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六、科学技术支出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33</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六、其他收入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7</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七、文化体育与传媒支出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34</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8</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八、社会保障和就业支出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35</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9</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九、医疗卫生与计划生育支出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36</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10</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十、节能环保支出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37</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11</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十一、城乡社区支出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38</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12</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十二、农林水支出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39</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13</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十三、交通运输支出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40</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23"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14</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十四、资源勘探信息等支出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41</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15</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十五、商业服务业等支出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42</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16</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十六、金融支出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43</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17</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十七、援助其他地区支出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44</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18</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十八、国土海洋气象等支出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45</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19</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十九、住房保障支出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46</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20</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二十、粮油物资储备支出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47</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21</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二十一、其他支出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48</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22</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二十二、债务还本支出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49</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23</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二十三、债务付息支出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50</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本年收入合计</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24</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585.76</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本年支出合计</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51</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585.76</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用事业基金弥补收支差额</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25</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结余分配</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52</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年初结转和结余</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26</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年末结转和结余</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53</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总计</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27</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585.76</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总计</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54</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585.76</w:t>
            </w:r>
          </w:p>
        </w:tc>
      </w:tr>
    </w:tbl>
    <w:p>
      <w:pPr>
        <w:widowControl/>
        <w:shd w:val="clear" w:color="auto" w:fill="FFFFFF"/>
        <w:spacing w:line="500" w:lineRule="atLeast"/>
        <w:ind w:firstLine="420"/>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center"/>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收入决算表</w:t>
      </w:r>
    </w:p>
    <w:tbl>
      <w:tblPr>
        <w:tblStyle w:val="5"/>
        <w:tblW w:w="10428" w:type="dxa"/>
        <w:tblInd w:w="93" w:type="dxa"/>
        <w:tblLayout w:type="fixed"/>
        <w:tblCellMar>
          <w:top w:w="0" w:type="dxa"/>
          <w:left w:w="108" w:type="dxa"/>
          <w:bottom w:w="0" w:type="dxa"/>
          <w:right w:w="108" w:type="dxa"/>
        </w:tblCellMar>
      </w:tblPr>
      <w:tblGrid>
        <w:gridCol w:w="396"/>
        <w:gridCol w:w="396"/>
        <w:gridCol w:w="396"/>
        <w:gridCol w:w="2730"/>
        <w:gridCol w:w="820"/>
        <w:gridCol w:w="1120"/>
        <w:gridCol w:w="940"/>
        <w:gridCol w:w="820"/>
        <w:gridCol w:w="740"/>
        <w:gridCol w:w="640"/>
        <w:gridCol w:w="1430"/>
      </w:tblGrid>
      <w:tr>
        <w:tblPrEx>
          <w:tblLayout w:type="fixed"/>
          <w:tblCellMar>
            <w:top w:w="0" w:type="dxa"/>
            <w:left w:w="108" w:type="dxa"/>
            <w:bottom w:w="0" w:type="dxa"/>
            <w:right w:w="108" w:type="dxa"/>
          </w:tblCellMar>
        </w:tblPrEx>
        <w:trPr>
          <w:trHeight w:val="255" w:hRule="atLeast"/>
        </w:trPr>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3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公开02表</w:t>
            </w:r>
          </w:p>
        </w:tc>
      </w:tr>
      <w:tr>
        <w:tblPrEx>
          <w:tblLayout w:type="fixed"/>
          <w:tblCellMar>
            <w:top w:w="0" w:type="dxa"/>
            <w:left w:w="108" w:type="dxa"/>
            <w:bottom w:w="0" w:type="dxa"/>
            <w:right w:w="108" w:type="dxa"/>
          </w:tblCellMar>
        </w:tblPrEx>
        <w:trPr>
          <w:trHeight w:val="255" w:hRule="atLeast"/>
        </w:trPr>
        <w:tc>
          <w:tcPr>
            <w:tcW w:w="3918"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编制单位：樟树市机关事务管理局</w:t>
            </w: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60" w:type="dxa"/>
            <w:gridSpan w:val="2"/>
            <w:tcBorders>
              <w:top w:val="nil"/>
              <w:left w:val="nil"/>
              <w:bottom w:val="single" w:color="000000" w:sz="4" w:space="0"/>
              <w:right w:val="nil"/>
            </w:tcBorders>
            <w:shd w:val="clear" w:color="auto" w:fill="auto"/>
            <w:noWrap/>
            <w:vAlign w:val="bottom"/>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p>
        </w:tc>
        <w:tc>
          <w:tcPr>
            <w:tcW w:w="7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3918"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本年收入合计</w:t>
            </w:r>
          </w:p>
        </w:tc>
        <w:tc>
          <w:tcPr>
            <w:tcW w:w="112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财政拨款收入</w:t>
            </w:r>
          </w:p>
        </w:tc>
        <w:tc>
          <w:tcPr>
            <w:tcW w:w="940"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上级补助收入</w:t>
            </w:r>
          </w:p>
        </w:tc>
        <w:tc>
          <w:tcPr>
            <w:tcW w:w="820"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事业收入</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经营收入</w:t>
            </w:r>
          </w:p>
        </w:tc>
        <w:tc>
          <w:tcPr>
            <w:tcW w:w="64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附属单位上缴收入</w:t>
            </w:r>
          </w:p>
        </w:tc>
        <w:tc>
          <w:tcPr>
            <w:tcW w:w="1430"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其他收入</w:t>
            </w:r>
          </w:p>
        </w:tc>
      </w:tr>
      <w:tr>
        <w:tblPrEx>
          <w:tblLayout w:type="fixed"/>
          <w:tblCellMar>
            <w:top w:w="0" w:type="dxa"/>
            <w:left w:w="108" w:type="dxa"/>
            <w:bottom w:w="0" w:type="dxa"/>
            <w:right w:w="108" w:type="dxa"/>
          </w:tblCellMar>
        </w:tblPrEx>
        <w:trPr>
          <w:trHeight w:val="387"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  科目编码</w:t>
            </w:r>
          </w:p>
        </w:tc>
        <w:tc>
          <w:tcPr>
            <w:tcW w:w="273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68"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23"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492" w:hRule="atLeast"/>
        </w:trPr>
        <w:tc>
          <w:tcPr>
            <w:tcW w:w="396"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1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7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6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14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7 </w:t>
            </w:r>
          </w:p>
        </w:tc>
      </w:tr>
      <w:tr>
        <w:tblPrEx>
          <w:tblLayout w:type="fixed"/>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一般公共服务支出</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政府办公厅（室）及相关机构事务</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2010301</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行政运行</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bl>
    <w:p>
      <w:pPr>
        <w:widowControl/>
        <w:shd w:val="clear" w:color="auto" w:fill="FFFFFF"/>
        <w:spacing w:line="500" w:lineRule="atLeast"/>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支出决算表</w:t>
      </w:r>
    </w:p>
    <w:tbl>
      <w:tblPr>
        <w:tblStyle w:val="5"/>
        <w:tblW w:w="10138" w:type="dxa"/>
        <w:tblInd w:w="93" w:type="dxa"/>
        <w:tblLayout w:type="fixed"/>
        <w:tblCellMar>
          <w:top w:w="0" w:type="dxa"/>
          <w:left w:w="108" w:type="dxa"/>
          <w:bottom w:w="0" w:type="dxa"/>
          <w:right w:w="108" w:type="dxa"/>
        </w:tblCellMar>
      </w:tblPr>
      <w:tblGrid>
        <w:gridCol w:w="396"/>
        <w:gridCol w:w="396"/>
        <w:gridCol w:w="396"/>
        <w:gridCol w:w="2730"/>
        <w:gridCol w:w="1110"/>
        <w:gridCol w:w="880"/>
        <w:gridCol w:w="820"/>
        <w:gridCol w:w="1120"/>
        <w:gridCol w:w="860"/>
        <w:gridCol w:w="1430"/>
      </w:tblGrid>
      <w:tr>
        <w:tblPrEx>
          <w:tblLayout w:type="fixed"/>
          <w:tblCellMar>
            <w:top w:w="0" w:type="dxa"/>
            <w:left w:w="108" w:type="dxa"/>
            <w:bottom w:w="0" w:type="dxa"/>
            <w:right w:w="108" w:type="dxa"/>
          </w:tblCellMar>
        </w:tblPrEx>
        <w:trPr>
          <w:trHeight w:val="255" w:hRule="atLeast"/>
        </w:trPr>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3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1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公开03表</w:t>
            </w:r>
          </w:p>
        </w:tc>
      </w:tr>
      <w:tr>
        <w:tblPrEx>
          <w:tblLayout w:type="fixed"/>
          <w:tblCellMar>
            <w:top w:w="0" w:type="dxa"/>
            <w:left w:w="108" w:type="dxa"/>
            <w:bottom w:w="0" w:type="dxa"/>
            <w:right w:w="108" w:type="dxa"/>
          </w:tblCellMar>
        </w:tblPrEx>
        <w:trPr>
          <w:trHeight w:val="255" w:hRule="atLeast"/>
        </w:trPr>
        <w:tc>
          <w:tcPr>
            <w:tcW w:w="3918"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编制单位：樟树市机关事务管理局</w:t>
            </w:r>
          </w:p>
        </w:tc>
        <w:tc>
          <w:tcPr>
            <w:tcW w:w="111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0" w:type="dxa"/>
            <w:gridSpan w:val="2"/>
            <w:tcBorders>
              <w:top w:val="nil"/>
              <w:left w:val="nil"/>
              <w:bottom w:val="single" w:color="000000" w:sz="4" w:space="0"/>
              <w:right w:val="nil"/>
            </w:tcBorders>
            <w:shd w:val="clear" w:color="auto" w:fill="auto"/>
            <w:noWrap/>
            <w:vAlign w:val="bottom"/>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3918"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11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本年支出合计</w:t>
            </w:r>
          </w:p>
        </w:tc>
        <w:tc>
          <w:tcPr>
            <w:tcW w:w="88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基本支出</w:t>
            </w:r>
          </w:p>
        </w:tc>
        <w:tc>
          <w:tcPr>
            <w:tcW w:w="82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项目支出</w:t>
            </w:r>
          </w:p>
        </w:tc>
        <w:tc>
          <w:tcPr>
            <w:tcW w:w="112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上缴上级支出</w:t>
            </w:r>
          </w:p>
        </w:tc>
        <w:tc>
          <w:tcPr>
            <w:tcW w:w="86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经营支出</w:t>
            </w:r>
          </w:p>
        </w:tc>
        <w:tc>
          <w:tcPr>
            <w:tcW w:w="1430"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对附属单位补助支出</w:t>
            </w:r>
          </w:p>
        </w:tc>
      </w:tr>
      <w:tr>
        <w:tblPrEx>
          <w:tblLayout w:type="fixed"/>
          <w:tblCellMar>
            <w:top w:w="0" w:type="dxa"/>
            <w:left w:w="108" w:type="dxa"/>
            <w:bottom w:w="0" w:type="dxa"/>
            <w:right w:w="108" w:type="dxa"/>
          </w:tblCellMar>
        </w:tblPrEx>
        <w:trPr>
          <w:trHeight w:val="312"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支出功能分类科目编码</w:t>
            </w:r>
          </w:p>
        </w:tc>
        <w:tc>
          <w:tcPr>
            <w:tcW w:w="273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11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396"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11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11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8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4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r>
      <w:tr>
        <w:tblPrEx>
          <w:tblLayout w:type="fixed"/>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218</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一般公共服务支出</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218</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政府办公厅（室）及相关机构事务</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218</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2010301</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行政运行</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585.76</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218</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财政拨款收入支出决算总表</w:t>
      </w:r>
    </w:p>
    <w:p>
      <w:pPr>
        <w:widowControl/>
        <w:shd w:val="clear" w:color="auto" w:fill="FFFFFF"/>
        <w:spacing w:line="500" w:lineRule="atLeast"/>
        <w:rPr>
          <w:rFonts w:hint="eastAsia" w:ascii="宋体" w:hAnsi="宋体" w:eastAsia="宋体" w:cs="宋体"/>
          <w:color w:val="000000"/>
          <w:kern w:val="0"/>
          <w:sz w:val="28"/>
          <w:szCs w:val="28"/>
        </w:rPr>
      </w:pPr>
    </w:p>
    <w:tbl>
      <w:tblPr>
        <w:tblStyle w:val="5"/>
        <w:tblW w:w="11040" w:type="dxa"/>
        <w:tblInd w:w="93" w:type="dxa"/>
        <w:tblLayout w:type="fixed"/>
        <w:tblCellMar>
          <w:top w:w="0" w:type="dxa"/>
          <w:left w:w="108" w:type="dxa"/>
          <w:bottom w:w="0" w:type="dxa"/>
          <w:right w:w="108" w:type="dxa"/>
        </w:tblCellMar>
      </w:tblPr>
      <w:tblGrid>
        <w:gridCol w:w="2370"/>
        <w:gridCol w:w="460"/>
        <w:gridCol w:w="760"/>
        <w:gridCol w:w="2460"/>
        <w:gridCol w:w="480"/>
        <w:gridCol w:w="940"/>
        <w:gridCol w:w="1000"/>
        <w:gridCol w:w="1280"/>
        <w:gridCol w:w="835"/>
        <w:gridCol w:w="455"/>
      </w:tblGrid>
      <w:tr>
        <w:tblPrEx>
          <w:tblLayout w:type="fixed"/>
          <w:tblCellMar>
            <w:top w:w="0" w:type="dxa"/>
            <w:left w:w="108" w:type="dxa"/>
            <w:bottom w:w="0" w:type="dxa"/>
            <w:right w:w="108" w:type="dxa"/>
          </w:tblCellMar>
        </w:tblPrEx>
        <w:trPr>
          <w:gridAfter w:val="2"/>
          <w:wAfter w:w="1290" w:type="dxa"/>
          <w:trHeight w:val="255" w:hRule="atLeast"/>
        </w:trPr>
        <w:tc>
          <w:tcPr>
            <w:tcW w:w="237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6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76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46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8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94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00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280" w:type="dxa"/>
            <w:tcBorders>
              <w:top w:val="nil"/>
              <w:left w:val="nil"/>
              <w:bottom w:val="nil"/>
              <w:right w:val="nil"/>
            </w:tcBorders>
            <w:shd w:val="clear" w:color="000000" w:fill="FFFFFF"/>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公开04表</w:t>
            </w:r>
          </w:p>
        </w:tc>
      </w:tr>
      <w:tr>
        <w:tblPrEx>
          <w:tblLayout w:type="fixed"/>
          <w:tblCellMar>
            <w:top w:w="0" w:type="dxa"/>
            <w:left w:w="108" w:type="dxa"/>
            <w:bottom w:w="0" w:type="dxa"/>
            <w:right w:w="108" w:type="dxa"/>
          </w:tblCellMar>
        </w:tblPrEx>
        <w:trPr>
          <w:trHeight w:val="255" w:hRule="atLeast"/>
        </w:trPr>
        <w:tc>
          <w:tcPr>
            <w:tcW w:w="6530" w:type="dxa"/>
            <w:gridSpan w:val="5"/>
            <w:tcBorders>
              <w:top w:val="nil"/>
              <w:left w:val="nil"/>
              <w:bottom w:val="nil"/>
              <w:right w:val="nil"/>
            </w:tcBorders>
            <w:shd w:val="clear" w:color="000000" w:fill="FFFFFF"/>
            <w:noWrap/>
            <w:vAlign w:val="bottom"/>
          </w:tcPr>
          <w:p>
            <w:pPr>
              <w:widowControl/>
              <w:jc w:val="lef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rPr>
              <w:t>编制单位：樟树市机关事务管理局</w:t>
            </w:r>
            <w:r>
              <w:rPr>
                <w:rFonts w:hint="eastAsia" w:ascii="宋体" w:hAnsi="宋体" w:eastAsia="宋体" w:cs="Arial"/>
                <w:color w:val="000000"/>
                <w:kern w:val="0"/>
                <w:sz w:val="18"/>
                <w:szCs w:val="18"/>
                <w:lang w:val="en-US" w:eastAsia="zh-CN"/>
              </w:rPr>
              <w:t xml:space="preserve">              </w:t>
            </w: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r>
              <w:rPr>
                <w:rFonts w:hint="eastAsia" w:ascii="宋体" w:hAnsi="宋体" w:eastAsia="宋体" w:cs="Arial"/>
                <w:color w:val="000000"/>
                <w:kern w:val="0"/>
                <w:sz w:val="18"/>
                <w:szCs w:val="18"/>
                <w:lang w:val="en-US" w:eastAsia="zh-CN"/>
              </w:rPr>
              <w:t xml:space="preserve">    </w:t>
            </w:r>
          </w:p>
        </w:tc>
        <w:tc>
          <w:tcPr>
            <w:tcW w:w="94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18"/>
                <w:szCs w:val="18"/>
              </w:rPr>
            </w:pPr>
            <w:r>
              <w:rPr>
                <w:rFonts w:ascii="Arial" w:hAnsi="Arial" w:eastAsia="宋体" w:cs="Arial"/>
                <w:color w:val="000000"/>
                <w:kern w:val="0"/>
                <w:sz w:val="18"/>
                <w:szCs w:val="18"/>
              </w:rPr>
              <w:t>　</w:t>
            </w:r>
          </w:p>
        </w:tc>
        <w:tc>
          <w:tcPr>
            <w:tcW w:w="100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18"/>
                <w:szCs w:val="18"/>
              </w:rPr>
            </w:pPr>
            <w:r>
              <w:rPr>
                <w:rFonts w:ascii="Arial" w:hAnsi="Arial" w:eastAsia="宋体" w:cs="Arial"/>
                <w:color w:val="000000"/>
                <w:kern w:val="0"/>
                <w:sz w:val="18"/>
                <w:szCs w:val="18"/>
              </w:rPr>
              <w:t>　</w:t>
            </w:r>
          </w:p>
        </w:tc>
        <w:tc>
          <w:tcPr>
            <w:tcW w:w="1280" w:type="dxa"/>
            <w:tcBorders>
              <w:top w:val="nil"/>
              <w:left w:val="nil"/>
              <w:bottom w:val="nil"/>
              <w:right w:val="nil"/>
            </w:tcBorders>
            <w:shd w:val="clear" w:color="000000" w:fill="FFFFFF"/>
            <w:noWrap/>
            <w:vAlign w:val="bottom"/>
          </w:tcPr>
          <w:p>
            <w:pPr>
              <w:widowControl/>
              <w:ind w:left="900" w:hanging="900" w:hangingChars="500"/>
              <w:jc w:val="left"/>
              <w:rPr>
                <w:rFonts w:ascii="Arial" w:hAnsi="Arial" w:eastAsia="宋体" w:cs="Arial"/>
                <w:color w:val="000000"/>
                <w:kern w:val="0"/>
                <w:sz w:val="18"/>
                <w:szCs w:val="18"/>
              </w:rPr>
            </w:pPr>
            <w:r>
              <w:rPr>
                <w:rFonts w:hint="eastAsia" w:ascii="宋体" w:hAnsi="宋体" w:eastAsia="宋体" w:cs="Arial"/>
                <w:color w:val="000000"/>
                <w:kern w:val="0"/>
                <w:sz w:val="18"/>
                <w:szCs w:val="18"/>
              </w:rPr>
              <w:t>金额单位：万元</w:t>
            </w:r>
          </w:p>
        </w:tc>
        <w:tc>
          <w:tcPr>
            <w:tcW w:w="1290" w:type="dxa"/>
            <w:gridSpan w:val="2"/>
            <w:tcBorders>
              <w:top w:val="nil"/>
              <w:left w:val="nil"/>
              <w:bottom w:val="single" w:color="000000" w:sz="4" w:space="0"/>
              <w:right w:val="nil"/>
            </w:tcBorders>
            <w:shd w:val="clear" w:color="000000" w:fill="FFFFFF"/>
            <w:noWrap/>
            <w:vAlign w:val="bottom"/>
          </w:tcPr>
          <w:p>
            <w:pPr>
              <w:widowControl/>
              <w:jc w:val="center"/>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3590" w:type="dxa"/>
            <w:gridSpan w:val="3"/>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收     入</w:t>
            </w:r>
          </w:p>
        </w:tc>
        <w:tc>
          <w:tcPr>
            <w:tcW w:w="6160" w:type="dxa"/>
            <w:gridSpan w:val="5"/>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支     出</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293" w:hRule="atLeast"/>
        </w:trPr>
        <w:tc>
          <w:tcPr>
            <w:tcW w:w="2370"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4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行次</w:t>
            </w:r>
          </w:p>
        </w:tc>
        <w:tc>
          <w:tcPr>
            <w:tcW w:w="7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c>
          <w:tcPr>
            <w:tcW w:w="2460" w:type="dxa"/>
            <w:vMerge w:val="restart"/>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项目（按功能分类）</w:t>
            </w:r>
          </w:p>
        </w:tc>
        <w:tc>
          <w:tcPr>
            <w:tcW w:w="48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行次</w:t>
            </w:r>
          </w:p>
        </w:tc>
        <w:tc>
          <w:tcPr>
            <w:tcW w:w="3220" w:type="dxa"/>
            <w:gridSpan w:val="3"/>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679" w:hRule="atLeast"/>
        </w:trPr>
        <w:tc>
          <w:tcPr>
            <w:tcW w:w="237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4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4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4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小计</w:t>
            </w:r>
          </w:p>
        </w:tc>
        <w:tc>
          <w:tcPr>
            <w:tcW w:w="1000"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一般公共预算     财政拨款</w:t>
            </w:r>
          </w:p>
        </w:tc>
        <w:tc>
          <w:tcPr>
            <w:tcW w:w="1280"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政府性基金预算     财政拨款</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    次</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    次</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10</w:t>
            </w:r>
          </w:p>
        </w:tc>
        <w:tc>
          <w:tcPr>
            <w:tcW w:w="10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11</w:t>
            </w:r>
          </w:p>
        </w:tc>
        <w:tc>
          <w:tcPr>
            <w:tcW w:w="12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12</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一、一般公共预算财政拨款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一、一般公共服务支出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30</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二、政府性基金预算财政拨款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二、外交支出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31</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三、国防支出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32</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四、公共安全支出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33</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五、教育支出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34</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六、科学技术支出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35</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7</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七、文化体育与传媒支出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8</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八、社会保障和就业支出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9</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九、医疗卫生与计划生育支出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38</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10</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十、节能环保支出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39</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11</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十一、城乡社区支出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40</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12</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十二、农林水支出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41</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13</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十三、交通运输支出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42</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14</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十四、资源勘探信息等支出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43</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15</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十五、商业服务业等支出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44</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16</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十六、金融支出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45</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17</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十七、援助其他地区支出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18</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十八、国土海洋气象等支出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19</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十九、住房保障支出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48</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二十、粮油物资储备支出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49</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21</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二十一、其他支出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50</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22</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二十二、债务还本支出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51</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23</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二十三、债务付息支出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52</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本年收入合计</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24</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本年支出合计</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53</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年初财政拨款结转和结余</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25</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年末财政拨款结转和结余</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54</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一、一般公共预算财政拨款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26</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55</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二、政府性基金预算财政拨款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27</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28</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总计</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29</w:t>
            </w:r>
          </w:p>
        </w:tc>
        <w:tc>
          <w:tcPr>
            <w:tcW w:w="7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总计</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58</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一般公共预算财政拨款支出决算表</w:t>
      </w:r>
    </w:p>
    <w:tbl>
      <w:tblPr>
        <w:tblStyle w:val="5"/>
        <w:tblW w:w="8830" w:type="dxa"/>
        <w:tblInd w:w="93" w:type="dxa"/>
        <w:tblLayout w:type="fixed"/>
        <w:tblCellMar>
          <w:top w:w="0" w:type="dxa"/>
          <w:left w:w="108" w:type="dxa"/>
          <w:bottom w:w="0" w:type="dxa"/>
          <w:right w:w="108" w:type="dxa"/>
        </w:tblCellMar>
      </w:tblPr>
      <w:tblGrid>
        <w:gridCol w:w="480"/>
        <w:gridCol w:w="520"/>
        <w:gridCol w:w="460"/>
        <w:gridCol w:w="3140"/>
        <w:gridCol w:w="1540"/>
        <w:gridCol w:w="1400"/>
        <w:gridCol w:w="1290"/>
      </w:tblGrid>
      <w:tr>
        <w:tblPrEx>
          <w:tblLayout w:type="fixed"/>
          <w:tblCellMar>
            <w:top w:w="0" w:type="dxa"/>
            <w:left w:w="108" w:type="dxa"/>
            <w:bottom w:w="0" w:type="dxa"/>
            <w:right w:w="108" w:type="dxa"/>
          </w:tblCellMar>
        </w:tblPrEx>
        <w:trPr>
          <w:trHeight w:val="255" w:hRule="atLeast"/>
        </w:trPr>
        <w:tc>
          <w:tcPr>
            <w:tcW w:w="4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1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9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公开05表</w:t>
            </w:r>
          </w:p>
        </w:tc>
      </w:tr>
      <w:tr>
        <w:tblPrEx>
          <w:tblLayout w:type="fixed"/>
          <w:tblCellMar>
            <w:top w:w="0" w:type="dxa"/>
            <w:left w:w="108" w:type="dxa"/>
            <w:bottom w:w="0" w:type="dxa"/>
            <w:right w:w="108" w:type="dxa"/>
          </w:tblCellMar>
        </w:tblPrEx>
        <w:trPr>
          <w:trHeight w:val="255" w:hRule="atLeast"/>
        </w:trPr>
        <w:tc>
          <w:tcPr>
            <w:tcW w:w="4600"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编制单位：樟树市机关事务管理局</w:t>
            </w:r>
          </w:p>
        </w:tc>
        <w:tc>
          <w:tcPr>
            <w:tcW w:w="154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w:t>
            </w:r>
          </w:p>
        </w:tc>
        <w:tc>
          <w:tcPr>
            <w:tcW w:w="14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29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金额单位：万元</w:t>
            </w:r>
          </w:p>
        </w:tc>
      </w:tr>
      <w:tr>
        <w:tblPrEx>
          <w:tblLayout w:type="fixed"/>
          <w:tblCellMar>
            <w:top w:w="0" w:type="dxa"/>
            <w:left w:w="108" w:type="dxa"/>
            <w:bottom w:w="0" w:type="dxa"/>
            <w:right w:w="108" w:type="dxa"/>
          </w:tblCellMar>
        </w:tblPrEx>
        <w:trPr>
          <w:trHeight w:val="308" w:hRule="atLeast"/>
        </w:trPr>
        <w:tc>
          <w:tcPr>
            <w:tcW w:w="460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54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本年支出合计</w:t>
            </w:r>
          </w:p>
        </w:tc>
        <w:tc>
          <w:tcPr>
            <w:tcW w:w="140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基本支出</w:t>
            </w:r>
          </w:p>
        </w:tc>
        <w:tc>
          <w:tcPr>
            <w:tcW w:w="129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项目支出</w:t>
            </w:r>
          </w:p>
        </w:tc>
      </w:tr>
      <w:tr>
        <w:tblPrEx>
          <w:tblLayout w:type="fixed"/>
          <w:tblCellMar>
            <w:top w:w="0" w:type="dxa"/>
            <w:left w:w="108" w:type="dxa"/>
            <w:bottom w:w="0" w:type="dxa"/>
            <w:right w:w="108" w:type="dxa"/>
          </w:tblCellMar>
        </w:tblPrEx>
        <w:trPr>
          <w:trHeight w:val="312" w:hRule="atLeast"/>
        </w:trPr>
        <w:tc>
          <w:tcPr>
            <w:tcW w:w="146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  科目编码</w:t>
            </w:r>
          </w:p>
        </w:tc>
        <w:tc>
          <w:tcPr>
            <w:tcW w:w="314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15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29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46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1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5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29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46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1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5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29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480"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52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4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31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5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4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129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r>
      <w:tr>
        <w:tblPrEx>
          <w:tblLayout w:type="fixed"/>
          <w:tblCellMar>
            <w:top w:w="0" w:type="dxa"/>
            <w:left w:w="108" w:type="dxa"/>
            <w:bottom w:w="0" w:type="dxa"/>
            <w:right w:w="108" w:type="dxa"/>
          </w:tblCellMar>
        </w:tblPrEx>
        <w:trPr>
          <w:trHeight w:val="308" w:hRule="atLeast"/>
        </w:trPr>
        <w:tc>
          <w:tcPr>
            <w:tcW w:w="4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5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4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1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15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4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129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218</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一般公共服务支出</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218</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政府办公厅（室）及相关机构事务</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218</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2010301</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行政运行</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585.76</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367.76</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218</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一般公共预算财政拨款基本支出决算表</w:t>
      </w:r>
    </w:p>
    <w:tbl>
      <w:tblPr>
        <w:tblW w:w="9265" w:type="dxa"/>
        <w:tblInd w:w="0" w:type="dxa"/>
        <w:shd w:val="clear"/>
        <w:tblLayout w:type="fixed"/>
        <w:tblCellMar>
          <w:top w:w="0" w:type="dxa"/>
          <w:left w:w="0" w:type="dxa"/>
          <w:bottom w:w="0" w:type="dxa"/>
          <w:right w:w="0" w:type="dxa"/>
        </w:tblCellMar>
      </w:tblPr>
      <w:tblGrid>
        <w:gridCol w:w="710"/>
        <w:gridCol w:w="1403"/>
        <w:gridCol w:w="924"/>
        <w:gridCol w:w="793"/>
        <w:gridCol w:w="1065"/>
        <w:gridCol w:w="750"/>
        <w:gridCol w:w="795"/>
        <w:gridCol w:w="1395"/>
        <w:gridCol w:w="1430"/>
      </w:tblGrid>
      <w:tr>
        <w:tblPrEx>
          <w:shd w:val="clear"/>
          <w:tblLayout w:type="fixed"/>
          <w:tblCellMar>
            <w:top w:w="0" w:type="dxa"/>
            <w:left w:w="0" w:type="dxa"/>
            <w:bottom w:w="0" w:type="dxa"/>
            <w:right w:w="0" w:type="dxa"/>
          </w:tblCellMar>
        </w:tblPrEx>
        <w:trPr>
          <w:trHeight w:val="255" w:hRule="atLeast"/>
        </w:trPr>
        <w:tc>
          <w:tcPr>
            <w:tcW w:w="710" w:type="dxa"/>
            <w:tcBorders>
              <w:top w:val="nil"/>
              <w:left w:val="nil"/>
              <w:bottom w:val="nil"/>
              <w:right w:val="nil"/>
            </w:tcBorders>
            <w:shd w:val="clear"/>
            <w:noWrap/>
            <w:tcMar>
              <w:top w:w="15" w:type="dxa"/>
              <w:left w:w="15" w:type="dxa"/>
              <w:right w:w="15" w:type="dxa"/>
            </w:tcMar>
            <w:vAlign w:val="bottom"/>
          </w:tcPr>
          <w:p>
            <w:pPr>
              <w:rPr>
                <w:rFonts w:hint="eastAsia" w:ascii="Arial" w:hAnsi="Arial" w:cs="Arial"/>
                <w:i w:val="0"/>
                <w:color w:val="000000"/>
                <w:sz w:val="20"/>
                <w:szCs w:val="20"/>
                <w:u w:val="none"/>
              </w:rPr>
            </w:pPr>
          </w:p>
        </w:tc>
        <w:tc>
          <w:tcPr>
            <w:tcW w:w="1403"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924"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793"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065"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750"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795"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395"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430"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公开06表</w:t>
            </w:r>
          </w:p>
        </w:tc>
      </w:tr>
      <w:tr>
        <w:tblPrEx>
          <w:tblLayout w:type="fixed"/>
          <w:tblCellMar>
            <w:top w:w="0" w:type="dxa"/>
            <w:left w:w="0" w:type="dxa"/>
            <w:bottom w:w="0" w:type="dxa"/>
            <w:right w:w="0" w:type="dxa"/>
          </w:tblCellMar>
        </w:tblPrEx>
        <w:trPr>
          <w:trHeight w:val="255" w:hRule="atLeast"/>
        </w:trPr>
        <w:tc>
          <w:tcPr>
            <w:tcW w:w="3830" w:type="dxa"/>
            <w:gridSpan w:val="4"/>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编制单位：樟树市机关事务管理局（本级）</w:t>
            </w:r>
          </w:p>
        </w:tc>
        <w:tc>
          <w:tcPr>
            <w:tcW w:w="1065"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2018年度</w:t>
            </w:r>
          </w:p>
        </w:tc>
        <w:tc>
          <w:tcPr>
            <w:tcW w:w="750"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795"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395"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430"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金额单位：万元</w:t>
            </w:r>
          </w:p>
        </w:tc>
      </w:tr>
      <w:tr>
        <w:tblPrEx>
          <w:tblLayout w:type="fixed"/>
          <w:tblCellMar>
            <w:top w:w="0" w:type="dxa"/>
            <w:left w:w="0" w:type="dxa"/>
            <w:bottom w:w="0" w:type="dxa"/>
            <w:right w:w="0" w:type="dxa"/>
          </w:tblCellMar>
        </w:tblPrEx>
        <w:trPr>
          <w:trHeight w:val="308" w:hRule="atLeast"/>
        </w:trPr>
        <w:tc>
          <w:tcPr>
            <w:tcW w:w="3037"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人员经费</w:t>
            </w:r>
          </w:p>
        </w:tc>
        <w:tc>
          <w:tcPr>
            <w:tcW w:w="6228"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公用经费</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经济分类科目编码</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科目名称</w:t>
            </w:r>
          </w:p>
        </w:tc>
        <w:tc>
          <w:tcPr>
            <w:tcW w:w="924"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金额</w:t>
            </w:r>
          </w:p>
        </w:tc>
        <w:tc>
          <w:tcPr>
            <w:tcW w:w="79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经济分类科目编码</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科目名称</w:t>
            </w:r>
          </w:p>
        </w:tc>
        <w:tc>
          <w:tcPr>
            <w:tcW w:w="75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金额</w:t>
            </w:r>
          </w:p>
        </w:tc>
        <w:tc>
          <w:tcPr>
            <w:tcW w:w="7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经济分类科目编码</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科目名称</w:t>
            </w:r>
          </w:p>
        </w:tc>
        <w:tc>
          <w:tcPr>
            <w:tcW w:w="143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金额</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301</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工资福利支出</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149.36</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302</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商品和服务支出</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215.64</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307</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债务利息及费用支出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30101</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基本工资</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66.34</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30201</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办公费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150.94</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30701</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国内债务付息</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30102</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津贴补贴</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32.78</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30202</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印刷费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30702</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国外债务付息</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30103</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奖金</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49.83</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30203</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咨询费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2.26</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30703</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国内债务发行费用</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30106</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伙食补助费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30204</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手续费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30704</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国外债务发行费用</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30107</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绩效工资</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30205</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水费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310</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资本性支出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2.76</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30108</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机关事业单位基本养老保险缴费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30206</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电费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31001</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房屋建筑物购建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30109</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职业年金缴费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30207</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邮电费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0.14</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31002</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办公设备购置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2.76</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30110</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职工基本医疗保险缴费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30208</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取暖费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31003</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专用设备购置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30111</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公务员医疗补助缴款</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30209</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物业管理费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31005</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基础设施建设</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30112</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其他社会保障缴费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0.25</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30211</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差旅费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7.69</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31006</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大型修缮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30113</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住房公积金</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30212</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因公出国（境）费用</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31007</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信息网络及软件购置更新</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30114</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医疗费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30213</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维修（护）费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31008</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物资储备</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30199</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其他工资福利支出</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0.16</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30214</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租赁费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8.07</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31009</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土地补偿</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303</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对个人和家庭的补助</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30215</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会议费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31010</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安置补助</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30301</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离休费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30216</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培训费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2.19</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31011</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地上附着物和青苗补偿</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30302</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退休费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30217</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公务接待费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3.64</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31012</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拆迁补偿</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30303</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退职（役）费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30218</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专用材料费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31013</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公务用车购置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30304</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抚恤金</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30224</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被装购置费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31019</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其他交通工具购置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30305</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生活补贴</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30225</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专用燃料费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31021</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文物和陈列品购置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30306</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救济费</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30226</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劳务费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6.12</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31022</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无形资产购置</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30307</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医疗费补助</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30227</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委托业务费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31099</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其他资本性支出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30308</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助学金</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30228</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工会经费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3.74</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312</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对企业补助</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30309</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奖励金</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30229</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福利费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0.21</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31201</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资本金注入</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30310</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个人农业生产补贴</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30231</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公务用车运行维护费</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31203</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政府投资基金股权投资</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30399</w:t>
            </w: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其他对个人和家庭的补助支出</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30239</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其他交通费用</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11.01</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31204</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费用补贴</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30240</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税金及附加费用</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31205</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利息补贴</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30299</w:t>
            </w: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其他商品和服务支出</w:t>
            </w: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19.65</w:t>
            </w: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31299</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其他对企业补助</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399</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其他支出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39906</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赠与</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39907</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国家赔偿费用支出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39908</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对民间非营利组织和群众性自治组织补贴</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7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0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3"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6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75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79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39999</w:t>
            </w:r>
          </w:p>
        </w:tc>
        <w:tc>
          <w:tcPr>
            <w:tcW w:w="1395"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其他支出</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113"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人员经费合计</w:t>
            </w:r>
          </w:p>
        </w:tc>
        <w:tc>
          <w:tcPr>
            <w:tcW w:w="924"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149.36</w:t>
            </w:r>
          </w:p>
        </w:tc>
        <w:tc>
          <w:tcPr>
            <w:tcW w:w="4798"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公用支出合计</w:t>
            </w:r>
          </w:p>
        </w:tc>
        <w:tc>
          <w:tcPr>
            <w:tcW w:w="1430"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218.41</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一般公共预算财政拨款“三公”经费支出决算表</w:t>
      </w:r>
    </w:p>
    <w:tbl>
      <w:tblPr>
        <w:tblStyle w:val="5"/>
        <w:tblW w:w="8120" w:type="dxa"/>
        <w:tblInd w:w="93" w:type="dxa"/>
        <w:tblLayout w:type="fixed"/>
        <w:tblCellMar>
          <w:top w:w="0" w:type="dxa"/>
          <w:left w:w="108" w:type="dxa"/>
          <w:bottom w:w="0" w:type="dxa"/>
          <w:right w:w="108" w:type="dxa"/>
        </w:tblCellMar>
      </w:tblPr>
      <w:tblGrid>
        <w:gridCol w:w="3640"/>
        <w:gridCol w:w="880"/>
        <w:gridCol w:w="1800"/>
        <w:gridCol w:w="1800"/>
      </w:tblGrid>
      <w:tr>
        <w:tblPrEx>
          <w:tblLayout w:type="fixed"/>
          <w:tblCellMar>
            <w:top w:w="0" w:type="dxa"/>
            <w:left w:w="108" w:type="dxa"/>
            <w:bottom w:w="0" w:type="dxa"/>
            <w:right w:w="108" w:type="dxa"/>
          </w:tblCellMar>
        </w:tblPrEx>
        <w:trPr>
          <w:trHeight w:val="255" w:hRule="atLeast"/>
        </w:trPr>
        <w:tc>
          <w:tcPr>
            <w:tcW w:w="36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公开07表</w:t>
            </w:r>
          </w:p>
        </w:tc>
      </w:tr>
      <w:tr>
        <w:tblPrEx>
          <w:tblLayout w:type="fixed"/>
          <w:tblCellMar>
            <w:top w:w="0" w:type="dxa"/>
            <w:left w:w="108" w:type="dxa"/>
            <w:bottom w:w="0" w:type="dxa"/>
            <w:right w:w="108" w:type="dxa"/>
          </w:tblCellMar>
        </w:tblPrEx>
        <w:trPr>
          <w:trHeight w:val="255" w:hRule="atLeast"/>
        </w:trPr>
        <w:tc>
          <w:tcPr>
            <w:tcW w:w="3640" w:type="dxa"/>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编制单位：樟树市机关事务管理局</w:t>
            </w:r>
          </w:p>
        </w:tc>
        <w:tc>
          <w:tcPr>
            <w:tcW w:w="88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3640"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w:t>
            </w:r>
          </w:p>
        </w:tc>
        <w:tc>
          <w:tcPr>
            <w:tcW w:w="88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80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年初预算数</w:t>
            </w:r>
          </w:p>
        </w:tc>
        <w:tc>
          <w:tcPr>
            <w:tcW w:w="180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行次</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8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8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一、“三公”经费支出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5</w:t>
            </w:r>
            <w:r>
              <w:rPr>
                <w:rFonts w:hint="eastAsia" w:ascii="宋体" w:hAnsi="宋体" w:eastAsia="宋体" w:cs="Arial"/>
                <w:color w:val="000000"/>
                <w:kern w:val="0"/>
                <w:sz w:val="18"/>
                <w:szCs w:val="18"/>
              </w:rPr>
              <w:t>.00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3.64</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1.因公出国（境）费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2.公务用车购置及运行维护费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（1）公务用车购置费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（2）公务用车运行维护费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3.公务接待费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eastAsia" w:ascii="宋体" w:hAnsi="宋体" w:eastAsia="宋体" w:cs="Arial"/>
                <w:color w:val="000000"/>
                <w:kern w:val="0"/>
                <w:sz w:val="18"/>
                <w:szCs w:val="18"/>
                <w:lang w:eastAsia="zh-CN"/>
              </w:rPr>
            </w:pPr>
            <w:r>
              <w:rPr>
                <w:rFonts w:hint="eastAsia" w:ascii="宋体" w:hAnsi="宋体" w:eastAsia="宋体" w:cs="Arial"/>
                <w:color w:val="000000"/>
                <w:kern w:val="0"/>
                <w:sz w:val="18"/>
                <w:szCs w:val="18"/>
                <w:lang w:val="en-US" w:eastAsia="zh-CN"/>
              </w:rPr>
              <w:t>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3.64</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（1）国内接待费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7</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eastAsia" w:ascii="宋体" w:hAnsi="宋体" w:eastAsia="宋体" w:cs="Arial"/>
                <w:color w:val="000000"/>
                <w:kern w:val="0"/>
                <w:sz w:val="18"/>
                <w:szCs w:val="18"/>
                <w:lang w:eastAsia="zh-CN"/>
              </w:rPr>
            </w:pPr>
            <w:r>
              <w:rPr>
                <w:rFonts w:hint="eastAsia" w:ascii="宋体" w:hAnsi="宋体" w:eastAsia="宋体" w:cs="Arial"/>
                <w:color w:val="000000"/>
                <w:kern w:val="0"/>
                <w:sz w:val="18"/>
                <w:szCs w:val="18"/>
                <w:lang w:val="en-US" w:eastAsia="zh-CN"/>
              </w:rPr>
              <w:t>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3.64</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其中：外事接待费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（2）国（境）外接待费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9</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二、相关统计数</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1.因公出国（境）团组数（个）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11</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2.因公出国（境）人次数（人）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12</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3.公务用车购置数（辆）</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13</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4.公务用车保有量（辆）</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14</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5.国内公务接待批次（个）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30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其中：外事接待批次（个）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16</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6.国内公务接待人次（人）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17</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280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其中：外事接待人次（人）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7.国（境）外公务接待批次（个）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19</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8.国（境）外公务接待人次（人）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814" w:hRule="atLeast"/>
        </w:trPr>
        <w:tc>
          <w:tcPr>
            <w:tcW w:w="8120" w:type="dxa"/>
            <w:gridSpan w:val="4"/>
            <w:tcBorders>
              <w:top w:val="nil"/>
              <w:left w:val="single" w:color="000000" w:sz="4" w:space="0"/>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注：2017年度预算数为“三公”经费年初财政拨款预算数，决算数是包括当年财政拨款预算和以前年度结转结余资金安排的实际支出。</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政府性基金预算财政拨款收入支出决算表</w:t>
      </w:r>
    </w:p>
    <w:tbl>
      <w:tblPr>
        <w:tblStyle w:val="5"/>
        <w:tblW w:w="8648" w:type="dxa"/>
        <w:tblInd w:w="93" w:type="dxa"/>
        <w:tblLayout w:type="fixed"/>
        <w:tblCellMar>
          <w:top w:w="0" w:type="dxa"/>
          <w:left w:w="108" w:type="dxa"/>
          <w:bottom w:w="0" w:type="dxa"/>
          <w:right w:w="108" w:type="dxa"/>
        </w:tblCellMar>
      </w:tblPr>
      <w:tblGrid>
        <w:gridCol w:w="396"/>
        <w:gridCol w:w="396"/>
        <w:gridCol w:w="396"/>
        <w:gridCol w:w="820"/>
        <w:gridCol w:w="1360"/>
        <w:gridCol w:w="1000"/>
        <w:gridCol w:w="860"/>
        <w:gridCol w:w="940"/>
        <w:gridCol w:w="1000"/>
        <w:gridCol w:w="1480"/>
      </w:tblGrid>
      <w:tr>
        <w:tblPrEx>
          <w:tblLayout w:type="fixed"/>
          <w:tblCellMar>
            <w:top w:w="0" w:type="dxa"/>
            <w:left w:w="108" w:type="dxa"/>
            <w:bottom w:w="0" w:type="dxa"/>
            <w:right w:w="108" w:type="dxa"/>
          </w:tblCellMar>
        </w:tblPrEx>
        <w:trPr>
          <w:trHeight w:val="240" w:hRule="atLeast"/>
        </w:trPr>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3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9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48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公开08表</w:t>
            </w:r>
          </w:p>
        </w:tc>
      </w:tr>
      <w:tr>
        <w:tblPrEx>
          <w:tblLayout w:type="fixed"/>
          <w:tblCellMar>
            <w:top w:w="0" w:type="dxa"/>
            <w:left w:w="108" w:type="dxa"/>
            <w:bottom w:w="0" w:type="dxa"/>
            <w:right w:w="108" w:type="dxa"/>
          </w:tblCellMar>
        </w:tblPrEx>
        <w:trPr>
          <w:trHeight w:val="240" w:hRule="atLeast"/>
        </w:trPr>
        <w:tc>
          <w:tcPr>
            <w:tcW w:w="3368" w:type="dxa"/>
            <w:gridSpan w:val="5"/>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编制单位：樟树市机关事务管理局</w:t>
            </w:r>
          </w:p>
        </w:tc>
        <w:tc>
          <w:tcPr>
            <w:tcW w:w="100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w:t>
            </w: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9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48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金额单位：元</w:t>
            </w:r>
          </w:p>
        </w:tc>
      </w:tr>
      <w:tr>
        <w:tblPrEx>
          <w:tblLayout w:type="fixed"/>
          <w:tblCellMar>
            <w:top w:w="0" w:type="dxa"/>
            <w:left w:w="108" w:type="dxa"/>
            <w:bottom w:w="0" w:type="dxa"/>
            <w:right w:w="108" w:type="dxa"/>
          </w:tblCellMar>
        </w:tblPrEx>
        <w:trPr>
          <w:trHeight w:val="308" w:hRule="atLeast"/>
        </w:trPr>
        <w:tc>
          <w:tcPr>
            <w:tcW w:w="2008"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36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年初结转和结余</w:t>
            </w:r>
          </w:p>
        </w:tc>
        <w:tc>
          <w:tcPr>
            <w:tcW w:w="100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本年收入</w:t>
            </w:r>
          </w:p>
        </w:tc>
        <w:tc>
          <w:tcPr>
            <w:tcW w:w="2800" w:type="dxa"/>
            <w:gridSpan w:val="3"/>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本年支出</w:t>
            </w:r>
          </w:p>
        </w:tc>
        <w:tc>
          <w:tcPr>
            <w:tcW w:w="148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年末结转和结余</w:t>
            </w:r>
          </w:p>
        </w:tc>
      </w:tr>
      <w:tr>
        <w:tblPrEx>
          <w:tblLayout w:type="fixed"/>
          <w:tblCellMar>
            <w:top w:w="0" w:type="dxa"/>
            <w:left w:w="108" w:type="dxa"/>
            <w:bottom w:w="0" w:type="dxa"/>
            <w:right w:w="108" w:type="dxa"/>
          </w:tblCellMar>
        </w:tblPrEx>
        <w:trPr>
          <w:trHeight w:val="312"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支出功能分类科目编码</w:t>
            </w:r>
          </w:p>
        </w:tc>
        <w:tc>
          <w:tcPr>
            <w:tcW w:w="82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13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小计</w:t>
            </w:r>
          </w:p>
        </w:tc>
        <w:tc>
          <w:tcPr>
            <w:tcW w:w="94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基本支出</w:t>
            </w:r>
          </w:p>
        </w:tc>
        <w:tc>
          <w:tcPr>
            <w:tcW w:w="100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项目支出</w:t>
            </w: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3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3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396"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3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0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8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10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r>
      <w:tr>
        <w:tblPrEx>
          <w:tblLayout w:type="fixed"/>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13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国有资产占用情况表</w:t>
      </w:r>
    </w:p>
    <w:tbl>
      <w:tblPr>
        <w:tblStyle w:val="5"/>
        <w:tblW w:w="8180" w:type="dxa"/>
        <w:tblInd w:w="93" w:type="dxa"/>
        <w:tblLayout w:type="fixed"/>
        <w:tblCellMar>
          <w:top w:w="0" w:type="dxa"/>
          <w:left w:w="108" w:type="dxa"/>
          <w:bottom w:w="0" w:type="dxa"/>
          <w:right w:w="108" w:type="dxa"/>
        </w:tblCellMar>
      </w:tblPr>
      <w:tblGrid>
        <w:gridCol w:w="5320"/>
        <w:gridCol w:w="1060"/>
        <w:gridCol w:w="1800"/>
      </w:tblGrid>
      <w:tr>
        <w:tblPrEx>
          <w:tblLayout w:type="fixed"/>
          <w:tblCellMar>
            <w:top w:w="0" w:type="dxa"/>
            <w:left w:w="108" w:type="dxa"/>
            <w:bottom w:w="0" w:type="dxa"/>
            <w:right w:w="108" w:type="dxa"/>
          </w:tblCellMar>
        </w:tblPrEx>
        <w:trPr>
          <w:trHeight w:val="255" w:hRule="atLeast"/>
        </w:trPr>
        <w:tc>
          <w:tcPr>
            <w:tcW w:w="53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公开09表</w:t>
            </w:r>
          </w:p>
        </w:tc>
      </w:tr>
      <w:tr>
        <w:tblPrEx>
          <w:tblLayout w:type="fixed"/>
          <w:tblCellMar>
            <w:top w:w="0" w:type="dxa"/>
            <w:left w:w="108" w:type="dxa"/>
            <w:bottom w:w="0" w:type="dxa"/>
            <w:right w:w="108" w:type="dxa"/>
          </w:tblCellMar>
        </w:tblPrEx>
        <w:trPr>
          <w:trHeight w:val="255" w:hRule="atLeast"/>
        </w:trPr>
        <w:tc>
          <w:tcPr>
            <w:tcW w:w="5320" w:type="dxa"/>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编制单位：樟树市机关事务局</w:t>
            </w:r>
          </w:p>
        </w:tc>
        <w:tc>
          <w:tcPr>
            <w:tcW w:w="106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w:t>
            </w: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单位：台、辆、套</w:t>
            </w:r>
          </w:p>
        </w:tc>
      </w:tr>
      <w:tr>
        <w:tblPrEx>
          <w:tblLayout w:type="fixed"/>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06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80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一、车辆数合计(台、辆)</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1.副部（省）级及以上领导用车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2.一般公务用车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3.一般执法执勤用车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4.特种专业技术用车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5.其他用车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二、单价50万元（含）以上通用设备（台，套）</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7</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三、单价100万元（含）以上专用设备（台，套）</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第三部分</w:t>
      </w:r>
      <w:r>
        <w:rPr>
          <w:rFonts w:ascii="宋体" w:hAnsi="宋体" w:eastAsia="宋体" w:cs="宋体"/>
          <w:b/>
          <w:bCs/>
          <w:color w:val="000000"/>
          <w:kern w:val="0"/>
          <w:sz w:val="44"/>
          <w:szCs w:val="44"/>
        </w:rPr>
        <w:t> 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rPr>
        <w:t> </w:t>
      </w:r>
      <w:r>
        <w:rPr>
          <w:rFonts w:ascii="宋体" w:hAnsi="宋体" w:eastAsia="宋体" w:cs="宋体"/>
          <w:b/>
          <w:bCs/>
          <w:color w:val="000000"/>
          <w:kern w:val="0"/>
          <w:sz w:val="28"/>
          <w:szCs w:val="28"/>
        </w:rPr>
        <w:t>年度部门决算情况说明</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r>
        <w:rPr>
          <w:rFonts w:hint="eastAsia" w:ascii="宋体" w:hAnsi="宋体" w:eastAsia="宋体" w:cs="宋体"/>
          <w:color w:val="000000"/>
          <w:kern w:val="0"/>
          <w:szCs w:val="21"/>
        </w:rPr>
        <w:t xml:space="preserve">     </w:t>
      </w:r>
      <w:r>
        <w:rPr>
          <w:rFonts w:hint="eastAsia" w:ascii="宋体" w:hAnsi="宋体" w:eastAsia="宋体" w:cs="宋体"/>
          <w:b/>
          <w:bCs/>
          <w:color w:val="000000"/>
          <w:kern w:val="0"/>
          <w:sz w:val="28"/>
          <w:szCs w:val="28"/>
        </w:rPr>
        <w:t>一、</w:t>
      </w:r>
      <w:r>
        <w:rPr>
          <w:rFonts w:ascii="宋体" w:hAnsi="宋体" w:eastAsia="宋体" w:cs="宋体"/>
          <w:b/>
          <w:bCs/>
          <w:color w:val="000000"/>
          <w:kern w:val="0"/>
          <w:sz w:val="28"/>
          <w:szCs w:val="28"/>
        </w:rPr>
        <w:t>收入决算情况</w:t>
      </w:r>
      <w:r>
        <w:rPr>
          <w:rFonts w:hint="eastAsia" w:ascii="宋体" w:hAnsi="宋体" w:eastAsia="宋体" w:cs="宋体"/>
          <w:b/>
          <w:bCs/>
          <w:color w:val="000000"/>
          <w:kern w:val="0"/>
          <w:sz w:val="28"/>
          <w:szCs w:val="28"/>
        </w:rPr>
        <w:t>说明</w:t>
      </w:r>
    </w:p>
    <w:p>
      <w:pPr>
        <w:widowControl/>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本部门</w:t>
      </w:r>
      <w:r>
        <w:rPr>
          <w:rFonts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年度收入总计</w:t>
      </w:r>
      <w:r>
        <w:rPr>
          <w:rFonts w:hint="eastAsia" w:ascii="宋体" w:hAnsi="宋体" w:eastAsia="宋体" w:cs="宋体"/>
          <w:color w:val="000000"/>
          <w:kern w:val="0"/>
          <w:sz w:val="28"/>
          <w:szCs w:val="28"/>
          <w:lang w:val="en-US" w:eastAsia="zh-CN"/>
        </w:rPr>
        <w:t>585.76</w:t>
      </w:r>
      <w:r>
        <w:rPr>
          <w:rFonts w:ascii="宋体" w:hAnsi="宋体" w:eastAsia="宋体" w:cs="宋体"/>
          <w:color w:val="000000"/>
          <w:kern w:val="0"/>
          <w:sz w:val="28"/>
          <w:szCs w:val="28"/>
        </w:rPr>
        <w:t>万元，</w:t>
      </w:r>
      <w:r>
        <w:rPr>
          <w:rFonts w:hint="eastAsia" w:ascii="宋体" w:hAnsi="宋体" w:eastAsia="宋体" w:cs="宋体"/>
          <w:color w:val="000000"/>
          <w:kern w:val="0"/>
          <w:sz w:val="28"/>
          <w:szCs w:val="28"/>
        </w:rPr>
        <w:t>其中年初结转和结余0万元，较201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-24.74</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-4.05</w:t>
      </w:r>
      <w:r>
        <w:rPr>
          <w:rFonts w:hint="eastAsia" w:ascii="宋体" w:hAnsi="宋体" w:eastAsia="宋体" w:cs="宋体"/>
          <w:color w:val="000000"/>
          <w:kern w:val="0"/>
          <w:sz w:val="28"/>
          <w:szCs w:val="28"/>
        </w:rPr>
        <w:t>%；本年收入合计</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-24.76</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-4.05</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一些</w:t>
      </w:r>
      <w:r>
        <w:rPr>
          <w:rFonts w:hint="eastAsia" w:ascii="宋体" w:hAnsi="宋体" w:eastAsia="宋体" w:cs="宋体"/>
          <w:color w:val="000000"/>
          <w:kern w:val="0"/>
          <w:sz w:val="28"/>
          <w:szCs w:val="28"/>
        </w:rPr>
        <w:t>维修</w:t>
      </w:r>
      <w:r>
        <w:rPr>
          <w:rFonts w:hint="eastAsia" w:ascii="宋体" w:hAnsi="宋体" w:eastAsia="宋体" w:cs="宋体"/>
          <w:color w:val="000000"/>
          <w:kern w:val="0"/>
          <w:sz w:val="28"/>
          <w:szCs w:val="28"/>
          <w:lang w:eastAsia="zh-CN"/>
        </w:rPr>
        <w:t>费用减少了。</w:t>
      </w:r>
    </w:p>
    <w:p>
      <w:pPr>
        <w:widowControl/>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本年收入的具体构成为：财政拨款收入</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万元，占100%</w:t>
      </w:r>
      <w:r>
        <w:rPr>
          <w:rFonts w:hint="eastAsia" w:ascii="宋体" w:hAnsi="宋体" w:eastAsia="宋体" w:cs="宋体"/>
          <w:color w:val="000000"/>
          <w:kern w:val="0"/>
          <w:sz w:val="28"/>
          <w:szCs w:val="28"/>
          <w:lang w:eastAsia="zh-CN"/>
        </w:rPr>
        <w:t>。</w:t>
      </w:r>
    </w:p>
    <w:p>
      <w:pPr>
        <w:widowControl/>
        <w:shd w:val="clear" w:color="auto" w:fill="FFFFFF"/>
        <w:spacing w:line="500" w:lineRule="atLeast"/>
        <w:ind w:firstLine="630"/>
        <w:jc w:val="left"/>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二、支出决算情况说明</w:t>
      </w:r>
    </w:p>
    <w:p>
      <w:pPr>
        <w:widowControl/>
        <w:shd w:val="clear" w:color="auto" w:fill="FFFFFF"/>
        <w:spacing w:line="500" w:lineRule="atLeast"/>
        <w:ind w:firstLine="840" w:firstLineChars="3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w:t>
      </w:r>
      <w:r>
        <w:rPr>
          <w:rFonts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年度支出</w:t>
      </w:r>
      <w:r>
        <w:rPr>
          <w:rFonts w:hint="eastAsia" w:ascii="宋体" w:hAnsi="宋体" w:eastAsia="宋体" w:cs="宋体"/>
          <w:color w:val="000000"/>
          <w:kern w:val="0"/>
          <w:sz w:val="28"/>
          <w:szCs w:val="28"/>
        </w:rPr>
        <w:t>总计</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万元，其中本年支出合计</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-24.74</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-4.05</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一些</w:t>
      </w:r>
      <w:r>
        <w:rPr>
          <w:rFonts w:hint="eastAsia" w:ascii="宋体" w:hAnsi="宋体" w:eastAsia="宋体" w:cs="宋体"/>
          <w:color w:val="000000"/>
          <w:kern w:val="0"/>
          <w:sz w:val="28"/>
          <w:szCs w:val="28"/>
        </w:rPr>
        <w:t>维修</w:t>
      </w:r>
      <w:r>
        <w:rPr>
          <w:rFonts w:hint="eastAsia" w:ascii="宋体" w:hAnsi="宋体" w:eastAsia="宋体" w:cs="宋体"/>
          <w:color w:val="000000"/>
          <w:kern w:val="0"/>
          <w:sz w:val="28"/>
          <w:szCs w:val="28"/>
          <w:lang w:eastAsia="zh-CN"/>
        </w:rPr>
        <w:t>费用减少。</w:t>
      </w:r>
    </w:p>
    <w:p>
      <w:pPr>
        <w:widowControl/>
        <w:shd w:val="clear" w:color="auto" w:fill="FFFFFF"/>
        <w:spacing w:line="500" w:lineRule="atLeast"/>
        <w:ind w:firstLine="840" w:firstLineChars="300"/>
        <w:jc w:val="left"/>
        <w:rPr>
          <w:rFonts w:hint="eastAsia" w:ascii="宋体" w:hAnsi="宋体" w:eastAsia="宋体" w:cs="宋体"/>
          <w:color w:val="000000"/>
          <w:kern w:val="0"/>
          <w:szCs w:val="21"/>
        </w:rPr>
      </w:pPr>
      <w:r>
        <w:rPr>
          <w:rFonts w:hint="eastAsia" w:ascii="宋体" w:hAnsi="宋体" w:eastAsia="宋体" w:cs="宋体"/>
          <w:color w:val="000000"/>
          <w:kern w:val="0"/>
          <w:sz w:val="28"/>
          <w:szCs w:val="28"/>
        </w:rPr>
        <w:t>本年支出的具体构成为：基本支出</w:t>
      </w:r>
      <w:r>
        <w:rPr>
          <w:rFonts w:hint="eastAsia" w:ascii="宋体" w:hAnsi="宋体" w:eastAsia="宋体" w:cs="宋体"/>
          <w:color w:val="000000"/>
          <w:kern w:val="0"/>
          <w:sz w:val="28"/>
          <w:szCs w:val="28"/>
          <w:lang w:val="en-US" w:eastAsia="zh-CN"/>
        </w:rPr>
        <w:t>367.76</w:t>
      </w:r>
      <w:r>
        <w:rPr>
          <w:rFonts w:hint="eastAsia" w:ascii="宋体" w:hAnsi="宋体" w:eastAsia="宋体" w:cs="宋体"/>
          <w:color w:val="000000"/>
          <w:kern w:val="0"/>
          <w:sz w:val="28"/>
          <w:szCs w:val="28"/>
        </w:rPr>
        <w:t>万元，占</w:t>
      </w:r>
      <w:r>
        <w:rPr>
          <w:rFonts w:hint="eastAsia" w:ascii="宋体" w:hAnsi="宋体" w:eastAsia="宋体" w:cs="宋体"/>
          <w:color w:val="000000"/>
          <w:kern w:val="0"/>
          <w:sz w:val="28"/>
          <w:szCs w:val="28"/>
          <w:lang w:val="en-US" w:eastAsia="zh-CN"/>
        </w:rPr>
        <w:t>62.78</w:t>
      </w:r>
      <w:r>
        <w:rPr>
          <w:rFonts w:hint="eastAsia" w:ascii="宋体" w:hAnsi="宋体" w:eastAsia="宋体" w:cs="宋体"/>
          <w:color w:val="000000"/>
          <w:kern w:val="0"/>
          <w:sz w:val="28"/>
          <w:szCs w:val="28"/>
        </w:rPr>
        <w:t>%；项目支出</w:t>
      </w:r>
      <w:r>
        <w:rPr>
          <w:rFonts w:hint="eastAsia" w:ascii="宋体" w:hAnsi="宋体" w:eastAsia="宋体" w:cs="宋体"/>
          <w:color w:val="000000"/>
          <w:kern w:val="0"/>
          <w:sz w:val="28"/>
          <w:szCs w:val="28"/>
          <w:lang w:val="en-US" w:eastAsia="zh-CN"/>
        </w:rPr>
        <w:t>218</w:t>
      </w:r>
      <w:r>
        <w:rPr>
          <w:rFonts w:hint="eastAsia" w:ascii="宋体" w:hAnsi="宋体" w:eastAsia="宋体" w:cs="宋体"/>
          <w:color w:val="000000"/>
          <w:kern w:val="0"/>
          <w:sz w:val="28"/>
          <w:szCs w:val="28"/>
        </w:rPr>
        <w:t>万元，占</w:t>
      </w:r>
      <w:r>
        <w:rPr>
          <w:rFonts w:hint="eastAsia" w:ascii="宋体" w:hAnsi="宋体" w:eastAsia="宋体" w:cs="宋体"/>
          <w:color w:val="000000"/>
          <w:kern w:val="0"/>
          <w:sz w:val="28"/>
          <w:szCs w:val="28"/>
          <w:lang w:val="en-US" w:eastAsia="zh-CN"/>
        </w:rPr>
        <w:t>37.22</w:t>
      </w:r>
      <w:r>
        <w:rPr>
          <w:rFonts w:hint="eastAsia" w:ascii="宋体" w:hAnsi="宋体" w:eastAsia="宋体" w:cs="宋体"/>
          <w:color w:val="000000"/>
          <w:kern w:val="0"/>
          <w:sz w:val="28"/>
          <w:szCs w:val="28"/>
        </w:rPr>
        <w:t>%。</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rPr>
        <w:t>三、</w:t>
      </w:r>
      <w:r>
        <w:rPr>
          <w:rFonts w:ascii="宋体" w:hAnsi="宋体" w:eastAsia="宋体" w:cs="宋体"/>
          <w:b/>
          <w:bCs/>
          <w:color w:val="000000"/>
          <w:kern w:val="0"/>
          <w:sz w:val="28"/>
          <w:szCs w:val="28"/>
        </w:rPr>
        <w:t>财政拨款支出决算情况</w:t>
      </w:r>
      <w:r>
        <w:rPr>
          <w:rFonts w:hint="eastAsia" w:ascii="宋体" w:hAnsi="宋体" w:eastAsia="宋体" w:cs="宋体"/>
          <w:b/>
          <w:bCs/>
          <w:color w:val="000000"/>
          <w:kern w:val="0"/>
          <w:sz w:val="28"/>
          <w:szCs w:val="28"/>
        </w:rPr>
        <w:t>说明</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w:t>
      </w:r>
      <w:r>
        <w:rPr>
          <w:rFonts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年度财政拨款</w:t>
      </w:r>
      <w:r>
        <w:rPr>
          <w:rFonts w:hint="eastAsia" w:ascii="宋体" w:hAnsi="宋体" w:eastAsia="宋体" w:cs="宋体"/>
          <w:color w:val="000000"/>
          <w:kern w:val="0"/>
          <w:sz w:val="28"/>
          <w:szCs w:val="28"/>
        </w:rPr>
        <w:t>本年支出年初预算为</w:t>
      </w:r>
      <w:r>
        <w:rPr>
          <w:rFonts w:hint="eastAsia" w:ascii="宋体" w:hAnsi="宋体" w:eastAsia="宋体" w:cs="宋体"/>
          <w:color w:val="000000"/>
          <w:kern w:val="0"/>
          <w:sz w:val="28"/>
          <w:szCs w:val="28"/>
          <w:lang w:val="en-US" w:eastAsia="zh-CN"/>
        </w:rPr>
        <w:t>409.1</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万元，完成年初预算的</w:t>
      </w:r>
      <w:r>
        <w:rPr>
          <w:rFonts w:hint="eastAsia" w:ascii="宋体" w:hAnsi="宋体" w:eastAsia="宋体" w:cs="宋体"/>
          <w:color w:val="000000"/>
          <w:kern w:val="0"/>
          <w:sz w:val="28"/>
          <w:szCs w:val="28"/>
          <w:lang w:val="en-US" w:eastAsia="zh-CN"/>
        </w:rPr>
        <w:t>143.14</w:t>
      </w:r>
      <w:r>
        <w:rPr>
          <w:rFonts w:hint="eastAsia" w:ascii="宋体" w:hAnsi="宋体" w:eastAsia="宋体" w:cs="宋体"/>
          <w:color w:val="000000"/>
          <w:kern w:val="0"/>
          <w:sz w:val="28"/>
          <w:szCs w:val="28"/>
        </w:rPr>
        <w:t>%。其中：</w:t>
      </w:r>
    </w:p>
    <w:p>
      <w:pPr>
        <w:widowControl/>
        <w:numPr>
          <w:ilvl w:val="0"/>
          <w:numId w:val="1"/>
        </w:numPr>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一般公共服务支出年初预算数为</w:t>
      </w:r>
      <w:r>
        <w:rPr>
          <w:rFonts w:hint="eastAsia" w:ascii="宋体" w:hAnsi="宋体" w:eastAsia="宋体" w:cs="宋体"/>
          <w:color w:val="000000"/>
          <w:kern w:val="0"/>
          <w:sz w:val="28"/>
          <w:szCs w:val="28"/>
          <w:lang w:val="en-US" w:eastAsia="zh-CN"/>
        </w:rPr>
        <w:t>409.1</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万元，完成年初预算的</w:t>
      </w:r>
      <w:r>
        <w:rPr>
          <w:rFonts w:hint="eastAsia" w:ascii="宋体" w:hAnsi="宋体" w:eastAsia="宋体" w:cs="宋体"/>
          <w:color w:val="000000"/>
          <w:kern w:val="0"/>
          <w:sz w:val="28"/>
          <w:szCs w:val="28"/>
          <w:lang w:val="en-US" w:eastAsia="zh-CN"/>
        </w:rPr>
        <w:t>143.14</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人员工资的增加</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eastAsia="zh-CN"/>
        </w:rPr>
        <w:t>以及项目经费的增加。</w:t>
      </w:r>
    </w:p>
    <w:p>
      <w:pPr>
        <w:widowControl/>
        <w:numPr>
          <w:numId w:val="0"/>
        </w:numPr>
        <w:shd w:val="clear" w:color="auto" w:fill="FFFFFF"/>
        <w:spacing w:line="500" w:lineRule="atLeast"/>
        <w:ind w:firstLine="562" w:firstLineChars="200"/>
        <w:jc w:val="left"/>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四、一般公共预算财政拨款基本支出决算情况说明</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年度一般公共预算财政拨款基本支出</w:t>
      </w:r>
      <w:r>
        <w:rPr>
          <w:rFonts w:hint="eastAsia" w:ascii="宋体" w:hAnsi="宋体" w:eastAsia="宋体" w:cs="宋体"/>
          <w:color w:val="000000"/>
          <w:kern w:val="0"/>
          <w:sz w:val="28"/>
          <w:szCs w:val="28"/>
          <w:lang w:val="en-US" w:eastAsia="zh-CN"/>
        </w:rPr>
        <w:t>585.76</w:t>
      </w:r>
      <w:r>
        <w:rPr>
          <w:rFonts w:hint="eastAsia" w:ascii="宋体" w:hAnsi="宋体" w:eastAsia="宋体" w:cs="宋体"/>
          <w:color w:val="000000"/>
          <w:kern w:val="0"/>
          <w:sz w:val="28"/>
          <w:szCs w:val="28"/>
        </w:rPr>
        <w:t>万元，其中：</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（一）工资福利支出</w:t>
      </w:r>
      <w:r>
        <w:rPr>
          <w:rFonts w:hint="eastAsia" w:ascii="宋体" w:hAnsi="宋体" w:eastAsia="宋体" w:cs="宋体"/>
          <w:color w:val="000000"/>
          <w:kern w:val="0"/>
          <w:sz w:val="28"/>
          <w:szCs w:val="28"/>
          <w:lang w:val="en-US" w:eastAsia="zh-CN"/>
        </w:rPr>
        <w:t>149.36</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-36.26</w:t>
      </w:r>
      <w:r>
        <w:rPr>
          <w:rFonts w:hint="eastAsia" w:ascii="宋体" w:hAnsi="宋体" w:eastAsia="宋体" w:cs="宋体"/>
          <w:color w:val="000000"/>
          <w:kern w:val="0"/>
          <w:sz w:val="28"/>
          <w:szCs w:val="28"/>
        </w:rPr>
        <w:t xml:space="preserve">万元，增长（下降） </w:t>
      </w:r>
      <w:r>
        <w:rPr>
          <w:rFonts w:hint="eastAsia" w:ascii="宋体" w:hAnsi="宋体" w:eastAsia="宋体" w:cs="宋体"/>
          <w:color w:val="000000"/>
          <w:kern w:val="0"/>
          <w:sz w:val="28"/>
          <w:szCs w:val="28"/>
          <w:lang w:val="en-US" w:eastAsia="zh-CN"/>
        </w:rPr>
        <w:t>-19.53</w:t>
      </w:r>
      <w:r>
        <w:rPr>
          <w:rFonts w:hint="eastAsia" w:ascii="宋体" w:hAnsi="宋体" w:eastAsia="宋体" w:cs="宋体"/>
          <w:color w:val="000000"/>
          <w:kern w:val="0"/>
          <w:sz w:val="28"/>
          <w:szCs w:val="28"/>
        </w:rPr>
        <w:t>%，主要原因</w:t>
      </w:r>
      <w:r>
        <w:rPr>
          <w:rFonts w:hint="eastAsia" w:ascii="宋体" w:hAnsi="宋体" w:eastAsia="宋体" w:cs="宋体"/>
          <w:color w:val="000000"/>
          <w:kern w:val="0"/>
          <w:sz w:val="28"/>
          <w:szCs w:val="28"/>
          <w:lang w:eastAsia="zh-CN"/>
        </w:rPr>
        <w:t>奖金发放减少</w:t>
      </w:r>
      <w:r>
        <w:rPr>
          <w:rFonts w:hint="eastAsia" w:ascii="宋体" w:hAnsi="宋体" w:eastAsia="宋体" w:cs="宋体"/>
          <w:color w:val="000000"/>
          <w:kern w:val="0"/>
          <w:sz w:val="28"/>
          <w:szCs w:val="28"/>
        </w:rPr>
        <w:t>。</w:t>
      </w:r>
    </w:p>
    <w:p>
      <w:pPr>
        <w:widowControl/>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（二）商品和服务支出2</w:t>
      </w:r>
      <w:r>
        <w:rPr>
          <w:rFonts w:hint="eastAsia" w:ascii="宋体" w:hAnsi="宋体" w:eastAsia="宋体" w:cs="宋体"/>
          <w:color w:val="000000"/>
          <w:kern w:val="0"/>
          <w:sz w:val="28"/>
          <w:szCs w:val="28"/>
          <w:lang w:val="en-US" w:eastAsia="zh-CN"/>
        </w:rPr>
        <w:t>15.64</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-30.19</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-12.28</w:t>
      </w:r>
      <w:r>
        <w:rPr>
          <w:rFonts w:hint="eastAsia" w:ascii="宋体" w:hAnsi="宋体" w:eastAsia="宋体" w:cs="宋体"/>
          <w:color w:val="000000"/>
          <w:kern w:val="0"/>
          <w:sz w:val="28"/>
          <w:szCs w:val="28"/>
        </w:rPr>
        <w:t>%，主要原因是维修</w:t>
      </w:r>
      <w:r>
        <w:rPr>
          <w:rFonts w:hint="eastAsia" w:ascii="宋体" w:hAnsi="宋体" w:eastAsia="宋体" w:cs="宋体"/>
          <w:color w:val="000000"/>
          <w:kern w:val="0"/>
          <w:sz w:val="28"/>
          <w:szCs w:val="28"/>
          <w:lang w:eastAsia="zh-CN"/>
        </w:rPr>
        <w:t>费用的减少。</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（三）对个人和家庭补助支出0万元，较201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年增加（减少）万元，增长（下降）%，主要原因是：退休人员不在局里发放工资了。</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（四）其他资本性支出</w:t>
      </w:r>
      <w:r>
        <w:rPr>
          <w:rFonts w:hint="eastAsia" w:ascii="宋体" w:hAnsi="宋体" w:eastAsia="宋体" w:cs="宋体"/>
          <w:color w:val="000000"/>
          <w:kern w:val="0"/>
          <w:sz w:val="28"/>
          <w:szCs w:val="28"/>
          <w:lang w:val="en-US" w:eastAsia="zh-CN"/>
        </w:rPr>
        <w:t>2.76</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-7.41</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-72.86</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减少</w:t>
      </w:r>
      <w:r>
        <w:rPr>
          <w:rFonts w:hint="eastAsia" w:ascii="宋体" w:hAnsi="宋体" w:eastAsia="宋体" w:cs="宋体"/>
          <w:color w:val="000000"/>
          <w:kern w:val="0"/>
          <w:sz w:val="28"/>
          <w:szCs w:val="28"/>
        </w:rPr>
        <w:t>了一些办公设备购置。</w:t>
      </w:r>
    </w:p>
    <w:p>
      <w:pPr>
        <w:widowControl/>
        <w:shd w:val="clear" w:color="auto" w:fill="FFFFFF"/>
        <w:spacing w:line="500" w:lineRule="atLeast"/>
        <w:ind w:firstLine="703" w:firstLineChars="250"/>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五</w:t>
      </w:r>
      <w:r>
        <w:rPr>
          <w:rFonts w:hint="eastAsia" w:ascii="宋体" w:hAnsi="宋体" w:eastAsia="宋体" w:cs="宋体"/>
          <w:b/>
          <w:bCs/>
          <w:color w:val="000000"/>
          <w:kern w:val="0"/>
          <w:sz w:val="28"/>
          <w:szCs w:val="28"/>
        </w:rPr>
        <w:t>、</w:t>
      </w:r>
      <w:r>
        <w:rPr>
          <w:rFonts w:ascii="宋体" w:hAnsi="宋体" w:eastAsia="宋体" w:cs="宋体"/>
          <w:b/>
          <w:bCs/>
          <w:color w:val="000000"/>
          <w:kern w:val="0"/>
          <w:sz w:val="28"/>
          <w:szCs w:val="28"/>
        </w:rPr>
        <w:t>一般公共预算财政拨款</w:t>
      </w:r>
      <w:r>
        <w:rPr>
          <w:rFonts w:hint="eastAsia" w:ascii="宋体" w:hAnsi="宋体" w:eastAsia="宋体" w:cs="宋体"/>
          <w:b/>
          <w:bCs/>
          <w:color w:val="000000"/>
          <w:kern w:val="0"/>
          <w:sz w:val="28"/>
          <w:szCs w:val="28"/>
        </w:rPr>
        <w:t>“三公”经费</w:t>
      </w:r>
      <w:r>
        <w:rPr>
          <w:rFonts w:ascii="宋体" w:hAnsi="宋体" w:eastAsia="宋体" w:cs="宋体"/>
          <w:b/>
          <w:bCs/>
          <w:color w:val="000000"/>
          <w:kern w:val="0"/>
          <w:sz w:val="28"/>
          <w:szCs w:val="28"/>
        </w:rPr>
        <w:t>支出决算情况</w:t>
      </w:r>
      <w:r>
        <w:rPr>
          <w:rFonts w:hint="eastAsia" w:ascii="宋体" w:hAnsi="宋体" w:eastAsia="宋体" w:cs="宋体"/>
          <w:b/>
          <w:bCs/>
          <w:color w:val="000000"/>
          <w:kern w:val="0"/>
          <w:sz w:val="28"/>
          <w:szCs w:val="28"/>
        </w:rPr>
        <w:t>说明</w:t>
      </w:r>
    </w:p>
    <w:p>
      <w:pPr>
        <w:widowControl/>
        <w:shd w:val="clear" w:color="auto" w:fill="FFFFFF"/>
        <w:spacing w:line="500" w:lineRule="atLeast"/>
        <w:ind w:firstLine="56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年度一般公共预算财政拨款“三公”经费支出年初预算数为</w:t>
      </w:r>
      <w:r>
        <w:rPr>
          <w:rFonts w:hint="eastAsia" w:ascii="宋体" w:hAnsi="宋体" w:eastAsia="宋体" w:cs="宋体"/>
          <w:color w:val="000000"/>
          <w:kern w:val="0"/>
          <w:sz w:val="28"/>
          <w:szCs w:val="28"/>
          <w:lang w:val="en-US" w:eastAsia="zh-CN"/>
        </w:rPr>
        <w:t>5</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3.64</w:t>
      </w:r>
      <w:r>
        <w:rPr>
          <w:rFonts w:hint="eastAsia" w:ascii="宋体" w:hAnsi="宋体" w:eastAsia="宋体" w:cs="宋体"/>
          <w:color w:val="000000"/>
          <w:kern w:val="0"/>
          <w:sz w:val="28"/>
          <w:szCs w:val="28"/>
        </w:rPr>
        <w:t>万元，完成预算的</w:t>
      </w:r>
      <w:r>
        <w:rPr>
          <w:rFonts w:hint="eastAsia" w:ascii="宋体" w:hAnsi="宋体" w:eastAsia="宋体" w:cs="宋体"/>
          <w:color w:val="000000"/>
          <w:kern w:val="0"/>
          <w:sz w:val="28"/>
          <w:szCs w:val="28"/>
          <w:lang w:val="en-US" w:eastAsia="zh-CN"/>
        </w:rPr>
        <w:t>72.8</w:t>
      </w:r>
      <w:r>
        <w:rPr>
          <w:rFonts w:hint="eastAsia" w:ascii="宋体" w:hAnsi="宋体" w:eastAsia="宋体" w:cs="宋体"/>
          <w:color w:val="000000"/>
          <w:kern w:val="0"/>
          <w:sz w:val="28"/>
          <w:szCs w:val="28"/>
        </w:rPr>
        <w:t>%，决算数较201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1.64</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82</w:t>
      </w:r>
      <w:r>
        <w:rPr>
          <w:rFonts w:hint="eastAsia" w:ascii="宋体" w:hAnsi="宋体" w:eastAsia="宋体" w:cs="宋体"/>
          <w:color w:val="000000"/>
          <w:kern w:val="0"/>
          <w:sz w:val="28"/>
          <w:szCs w:val="28"/>
        </w:rPr>
        <w:t>%</w:t>
      </w:r>
    </w:p>
    <w:p>
      <w:pPr>
        <w:widowControl/>
        <w:shd w:val="clear" w:color="auto" w:fill="FFFFFF"/>
        <w:spacing w:line="500" w:lineRule="atLeast"/>
        <w:ind w:firstLine="56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（一）因公出国（境）支出年初预算数为   万元，决算数为  万元，完成预算的%，决算数较2016年增加（减少） 万元，增长（下降）%。</w:t>
      </w:r>
    </w:p>
    <w:p>
      <w:pPr>
        <w:widowControl/>
        <w:shd w:val="clear" w:color="auto" w:fill="FFFFFF"/>
        <w:spacing w:line="500" w:lineRule="atLeast"/>
        <w:ind w:firstLine="56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（二）公务接待费支出年初预算数为</w:t>
      </w:r>
      <w:r>
        <w:rPr>
          <w:rFonts w:hint="eastAsia" w:ascii="宋体" w:hAnsi="宋体" w:eastAsia="宋体" w:cs="宋体"/>
          <w:color w:val="000000"/>
          <w:kern w:val="0"/>
          <w:sz w:val="28"/>
          <w:szCs w:val="28"/>
          <w:lang w:val="en-US" w:eastAsia="zh-CN"/>
        </w:rPr>
        <w:t>5</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3.64</w:t>
      </w:r>
      <w:r>
        <w:rPr>
          <w:rFonts w:hint="eastAsia" w:ascii="宋体" w:hAnsi="宋体" w:eastAsia="宋体" w:cs="宋体"/>
          <w:color w:val="000000"/>
          <w:kern w:val="0"/>
          <w:sz w:val="28"/>
          <w:szCs w:val="28"/>
        </w:rPr>
        <w:t>万元，完成预算的</w:t>
      </w:r>
      <w:r>
        <w:rPr>
          <w:rFonts w:hint="eastAsia" w:ascii="宋体" w:hAnsi="宋体" w:eastAsia="宋体" w:cs="宋体"/>
          <w:color w:val="000000"/>
          <w:kern w:val="0"/>
          <w:sz w:val="28"/>
          <w:szCs w:val="28"/>
          <w:lang w:val="en-US" w:eastAsia="zh-CN"/>
        </w:rPr>
        <w:t>72.8</w:t>
      </w:r>
      <w:r>
        <w:rPr>
          <w:rFonts w:hint="eastAsia" w:ascii="宋体" w:hAnsi="宋体" w:eastAsia="宋体" w:cs="宋体"/>
          <w:color w:val="000000"/>
          <w:kern w:val="0"/>
          <w:sz w:val="28"/>
          <w:szCs w:val="28"/>
        </w:rPr>
        <w:t>%，决算数较201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1.64</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82</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我局有招商引资任务。</w:t>
      </w:r>
    </w:p>
    <w:p>
      <w:pPr>
        <w:widowControl/>
        <w:shd w:val="clear" w:color="auto" w:fill="FFFFFF"/>
        <w:spacing w:line="500" w:lineRule="atLeast"/>
        <w:ind w:firstLine="560"/>
        <w:jc w:val="left"/>
        <w:rPr>
          <w:rFonts w:hint="eastAsia" w:ascii="宋体" w:hAnsi="宋体" w:eastAsia="宋体" w:cs="宋体"/>
          <w:b/>
          <w:color w:val="000000"/>
          <w:kern w:val="0"/>
          <w:sz w:val="28"/>
          <w:szCs w:val="28"/>
        </w:rPr>
      </w:pPr>
      <w:r>
        <w:rPr>
          <w:rFonts w:ascii="宋体" w:hAnsi="宋体" w:eastAsia="宋体" w:cs="宋体"/>
          <w:color w:val="000000"/>
          <w:kern w:val="0"/>
          <w:sz w:val="44"/>
          <w:szCs w:val="44"/>
        </w:rPr>
        <w:t>　</w:t>
      </w:r>
      <w:r>
        <w:rPr>
          <w:rFonts w:hint="eastAsia" w:ascii="宋体" w:hAnsi="宋体" w:eastAsia="宋体" w:cs="宋体"/>
          <w:b/>
          <w:color w:val="000000"/>
          <w:kern w:val="0"/>
          <w:sz w:val="28"/>
          <w:szCs w:val="28"/>
        </w:rPr>
        <w:t>六、机关运行经费支出情况说明</w:t>
      </w:r>
    </w:p>
    <w:p>
      <w:pPr>
        <w:widowControl/>
        <w:shd w:val="clear" w:color="auto" w:fill="FFFFFF"/>
        <w:spacing w:line="500" w:lineRule="atLeast"/>
        <w:ind w:firstLine="560"/>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年度机关运行经费支出</w:t>
      </w:r>
      <w:r>
        <w:rPr>
          <w:rFonts w:hint="eastAsia" w:ascii="宋体" w:hAnsi="宋体" w:eastAsia="宋体" w:cs="宋体"/>
          <w:color w:val="000000"/>
          <w:kern w:val="0"/>
          <w:sz w:val="28"/>
          <w:szCs w:val="28"/>
          <w:lang w:val="en-US" w:eastAsia="zh-CN"/>
        </w:rPr>
        <w:t>218.41</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-37.59</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-14.68</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eastAsia="zh-CN"/>
        </w:rPr>
        <w:t>主要原因是一些维修费用的减少。</w:t>
      </w:r>
    </w:p>
    <w:p>
      <w:pPr>
        <w:widowControl/>
        <w:shd w:val="clear" w:color="auto" w:fill="FFFFFF"/>
        <w:spacing w:line="500" w:lineRule="atLeast"/>
        <w:ind w:firstLine="843" w:firstLineChars="300"/>
        <w:jc w:val="left"/>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七、政府采购支出情况说明</w:t>
      </w:r>
    </w:p>
    <w:p>
      <w:pPr>
        <w:widowControl/>
        <w:shd w:val="clear" w:color="auto" w:fill="FFFFFF"/>
        <w:spacing w:line="500" w:lineRule="atLeast"/>
        <w:ind w:firstLine="840" w:firstLineChars="3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本部门2017年度政府采购支出总额</w:t>
      </w:r>
      <w:r>
        <w:rPr>
          <w:rFonts w:hint="eastAsia" w:ascii="宋体" w:hAnsi="宋体" w:eastAsia="宋体" w:cs="宋体"/>
          <w:color w:val="000000"/>
          <w:kern w:val="0"/>
          <w:sz w:val="28"/>
          <w:szCs w:val="28"/>
          <w:lang w:val="en-US" w:eastAsia="zh-CN"/>
        </w:rPr>
        <w:t>2.76</w:t>
      </w:r>
      <w:r>
        <w:rPr>
          <w:rFonts w:hint="eastAsia" w:ascii="宋体" w:hAnsi="宋体" w:eastAsia="宋体" w:cs="宋体"/>
          <w:color w:val="000000"/>
          <w:kern w:val="0"/>
          <w:sz w:val="28"/>
          <w:szCs w:val="28"/>
        </w:rPr>
        <w:t>万元，其中：政府采购货物支出</w:t>
      </w:r>
      <w:r>
        <w:rPr>
          <w:rFonts w:hint="eastAsia" w:ascii="宋体" w:hAnsi="宋体" w:eastAsia="宋体" w:cs="宋体"/>
          <w:color w:val="000000"/>
          <w:kern w:val="0"/>
          <w:sz w:val="28"/>
          <w:szCs w:val="28"/>
          <w:lang w:val="en-US" w:eastAsia="zh-CN"/>
        </w:rPr>
        <w:t>2.76</w:t>
      </w:r>
      <w:r>
        <w:rPr>
          <w:rFonts w:hint="eastAsia" w:ascii="宋体" w:hAnsi="宋体" w:eastAsia="宋体" w:cs="宋体"/>
          <w:color w:val="000000"/>
          <w:kern w:val="0"/>
          <w:sz w:val="28"/>
          <w:szCs w:val="28"/>
        </w:rPr>
        <w:t>万元、政府采购工程支出 万元、政府采购服务支出 万元。</w:t>
      </w:r>
    </w:p>
    <w:p>
      <w:pPr>
        <w:pStyle w:val="4"/>
        <w:shd w:val="clear" w:color="auto" w:fill="FFFFFF"/>
        <w:spacing w:before="0" w:beforeAutospacing="0" w:after="0" w:afterAutospacing="0"/>
        <w:ind w:firstLine="630"/>
        <w:rPr>
          <w:rFonts w:hint="eastAsia" w:ascii="宋体" w:hAnsi="宋体"/>
          <w:b/>
          <w:color w:val="000000"/>
          <w:sz w:val="21"/>
          <w:szCs w:val="21"/>
        </w:rPr>
      </w:pPr>
      <w:r>
        <w:rPr>
          <w:rFonts w:ascii="宋体" w:hAnsi="宋体"/>
          <w:b/>
          <w:color w:val="000000"/>
          <w:sz w:val="30"/>
          <w:szCs w:val="30"/>
        </w:rPr>
        <w:t>八、预算绩效情况说明</w:t>
      </w:r>
    </w:p>
    <w:p>
      <w:pPr>
        <w:pStyle w:val="4"/>
        <w:shd w:val="clear" w:color="auto" w:fill="FFFFFF"/>
        <w:spacing w:before="0" w:beforeAutospacing="0" w:after="0" w:afterAutospacing="0" w:line="315" w:lineRule="atLeast"/>
        <w:rPr>
          <w:rFonts w:hint="eastAsia" w:ascii="宋体" w:hAnsi="宋体"/>
          <w:color w:val="000000"/>
          <w:sz w:val="21"/>
          <w:szCs w:val="21"/>
        </w:rPr>
      </w:pPr>
      <w:r>
        <w:rPr>
          <w:rFonts w:ascii="宋体" w:hAnsi="宋体"/>
          <w:color w:val="000000"/>
          <w:sz w:val="30"/>
          <w:szCs w:val="30"/>
        </w:rPr>
        <w:t>　</w:t>
      </w:r>
      <w:r>
        <w:rPr>
          <w:rStyle w:val="7"/>
          <w:rFonts w:ascii="宋体" w:hAnsi="宋体"/>
          <w:color w:val="000000"/>
          <w:sz w:val="30"/>
          <w:szCs w:val="30"/>
        </w:rPr>
        <w:t> </w:t>
      </w:r>
      <w:r>
        <w:rPr>
          <w:rFonts w:ascii="宋体" w:hAnsi="宋体"/>
          <w:color w:val="000000"/>
          <w:sz w:val="30"/>
          <w:szCs w:val="30"/>
        </w:rPr>
        <w:t>（一）绩效管理工作开展情况。</w:t>
      </w:r>
    </w:p>
    <w:p>
      <w:pPr>
        <w:pStyle w:val="4"/>
        <w:shd w:val="clear" w:color="auto" w:fill="FFFFFF"/>
        <w:spacing w:before="0" w:beforeAutospacing="0" w:after="0" w:afterAutospacing="0" w:line="315" w:lineRule="atLeast"/>
        <w:ind w:firstLine="600"/>
        <w:rPr>
          <w:rFonts w:hint="eastAsia" w:ascii="宋体" w:hAnsi="宋体"/>
          <w:color w:val="000000"/>
          <w:sz w:val="21"/>
          <w:szCs w:val="21"/>
        </w:rPr>
      </w:pPr>
      <w:r>
        <w:rPr>
          <w:rFonts w:ascii="宋体" w:hAnsi="宋体"/>
          <w:color w:val="000000"/>
          <w:sz w:val="30"/>
          <w:szCs w:val="30"/>
        </w:rPr>
        <w:t>根据预算绩效管理要求，我部门组织对201</w:t>
      </w:r>
      <w:r>
        <w:rPr>
          <w:rFonts w:hint="eastAsia"/>
          <w:color w:val="000000"/>
          <w:sz w:val="30"/>
          <w:szCs w:val="30"/>
          <w:lang w:val="en-US" w:eastAsia="zh-CN"/>
        </w:rPr>
        <w:t>8</w:t>
      </w:r>
      <w:r>
        <w:rPr>
          <w:rFonts w:ascii="宋体" w:hAnsi="宋体"/>
          <w:color w:val="000000"/>
          <w:sz w:val="30"/>
          <w:szCs w:val="30"/>
        </w:rPr>
        <w:t>年度一般公共预算项目支出全面开展绩效自评，其中，一级项目 </w:t>
      </w:r>
      <w:r>
        <w:rPr>
          <w:rFonts w:hint="eastAsia" w:ascii="宋体" w:hAnsi="宋体"/>
          <w:color w:val="000000"/>
          <w:sz w:val="30"/>
          <w:szCs w:val="30"/>
        </w:rPr>
        <w:t>1</w:t>
      </w:r>
      <w:r>
        <w:rPr>
          <w:rFonts w:ascii="宋体" w:hAnsi="宋体"/>
          <w:color w:val="000000"/>
          <w:sz w:val="30"/>
          <w:szCs w:val="30"/>
        </w:rPr>
        <w:t>个，二级项目</w:t>
      </w:r>
    </w:p>
    <w:p>
      <w:pPr>
        <w:pStyle w:val="4"/>
        <w:shd w:val="clear" w:color="auto" w:fill="FFFFFF"/>
        <w:spacing w:before="0" w:beforeAutospacing="0" w:after="0" w:afterAutospacing="0" w:line="315" w:lineRule="atLeast"/>
        <w:rPr>
          <w:rFonts w:hint="eastAsia" w:ascii="宋体" w:hAnsi="宋体"/>
          <w:color w:val="000000"/>
          <w:sz w:val="21"/>
          <w:szCs w:val="21"/>
        </w:rPr>
      </w:pPr>
      <w:r>
        <w:rPr>
          <w:rFonts w:ascii="宋体" w:hAnsi="宋体"/>
          <w:color w:val="000000"/>
          <w:sz w:val="30"/>
          <w:szCs w:val="30"/>
        </w:rPr>
        <w:t>　</w:t>
      </w:r>
      <w:r>
        <w:rPr>
          <w:rStyle w:val="7"/>
          <w:rFonts w:ascii="宋体" w:hAnsi="宋体"/>
          <w:color w:val="000000"/>
          <w:sz w:val="30"/>
          <w:szCs w:val="30"/>
        </w:rPr>
        <w:t> </w:t>
      </w:r>
      <w:r>
        <w:rPr>
          <w:rFonts w:ascii="宋体" w:hAnsi="宋体"/>
          <w:color w:val="000000"/>
          <w:sz w:val="30"/>
          <w:szCs w:val="30"/>
        </w:rPr>
        <w:t>个，共涉及资金 </w:t>
      </w:r>
      <w:r>
        <w:rPr>
          <w:rFonts w:hint="eastAsia"/>
          <w:color w:val="000000"/>
          <w:sz w:val="30"/>
          <w:szCs w:val="30"/>
          <w:lang w:val="en-US" w:eastAsia="zh-CN"/>
        </w:rPr>
        <w:t>136</w:t>
      </w:r>
      <w:r>
        <w:rPr>
          <w:rFonts w:ascii="宋体" w:hAnsi="宋体"/>
          <w:color w:val="000000"/>
          <w:sz w:val="30"/>
          <w:szCs w:val="30"/>
        </w:rPr>
        <w:t>万元，占一般公共预算项目支出总额的 </w:t>
      </w:r>
      <w:r>
        <w:rPr>
          <w:rFonts w:hint="eastAsia"/>
          <w:color w:val="000000"/>
          <w:sz w:val="30"/>
          <w:szCs w:val="30"/>
          <w:lang w:val="en-US" w:eastAsia="zh-CN"/>
        </w:rPr>
        <w:t>62.38</w:t>
      </w:r>
      <w:r>
        <w:rPr>
          <w:rFonts w:ascii="宋体" w:hAnsi="宋体"/>
          <w:color w:val="000000"/>
          <w:sz w:val="30"/>
          <w:szCs w:val="30"/>
        </w:rPr>
        <w:t>%。</w:t>
      </w:r>
    </w:p>
    <w:p>
      <w:pPr>
        <w:pStyle w:val="4"/>
        <w:shd w:val="clear" w:color="auto" w:fill="FFFFFF"/>
        <w:spacing w:before="0" w:beforeAutospacing="0" w:after="0" w:afterAutospacing="0" w:line="315" w:lineRule="atLeast"/>
        <w:ind w:firstLine="900"/>
        <w:rPr>
          <w:rStyle w:val="7"/>
          <w:rFonts w:ascii="宋体" w:hAnsi="宋体"/>
          <w:color w:val="000000"/>
          <w:sz w:val="30"/>
          <w:szCs w:val="30"/>
        </w:rPr>
      </w:pPr>
      <w:r>
        <w:rPr>
          <w:rFonts w:ascii="宋体" w:hAnsi="宋体"/>
          <w:color w:val="000000"/>
          <w:sz w:val="30"/>
          <w:szCs w:val="30"/>
        </w:rPr>
        <w:t>共组织对“</w:t>
      </w:r>
      <w:r>
        <w:rPr>
          <w:rFonts w:hint="eastAsia" w:ascii="宋体" w:hAnsi="宋体"/>
          <w:color w:val="000000"/>
          <w:sz w:val="30"/>
          <w:szCs w:val="30"/>
        </w:rPr>
        <w:t>机关大院</w:t>
      </w:r>
      <w:r>
        <w:rPr>
          <w:rFonts w:hint="eastAsia"/>
          <w:color w:val="000000"/>
          <w:sz w:val="30"/>
          <w:szCs w:val="30"/>
          <w:lang w:eastAsia="zh-CN"/>
        </w:rPr>
        <w:t>水电维修</w:t>
      </w:r>
      <w:r>
        <w:rPr>
          <w:rFonts w:hint="eastAsia" w:ascii="宋体" w:hAnsi="宋体"/>
          <w:color w:val="000000"/>
          <w:sz w:val="30"/>
          <w:szCs w:val="30"/>
        </w:rPr>
        <w:t>经费</w:t>
      </w:r>
      <w:r>
        <w:rPr>
          <w:rFonts w:hint="eastAsia"/>
          <w:color w:val="000000"/>
          <w:sz w:val="30"/>
          <w:szCs w:val="30"/>
          <w:lang w:eastAsia="zh-CN"/>
        </w:rPr>
        <w:t>和物业管理费</w:t>
      </w:r>
      <w:r>
        <w:rPr>
          <w:rFonts w:ascii="宋体" w:hAnsi="宋体"/>
          <w:color w:val="000000"/>
          <w:sz w:val="30"/>
          <w:szCs w:val="30"/>
        </w:rPr>
        <w:t>”等</w:t>
      </w:r>
      <w:r>
        <w:rPr>
          <w:rFonts w:hint="eastAsia"/>
          <w:color w:val="000000"/>
          <w:sz w:val="30"/>
          <w:szCs w:val="30"/>
          <w:lang w:val="en-US" w:eastAsia="zh-CN"/>
        </w:rPr>
        <w:t>2</w:t>
      </w:r>
      <w:r>
        <w:rPr>
          <w:rFonts w:ascii="宋体" w:hAnsi="宋体"/>
          <w:color w:val="000000"/>
          <w:sz w:val="30"/>
          <w:szCs w:val="30"/>
        </w:rPr>
        <w:t>个项目进行了重点绩效评价，涉及一般公共预算支出 </w:t>
      </w:r>
      <w:r>
        <w:rPr>
          <w:rFonts w:hint="eastAsia"/>
          <w:color w:val="000000"/>
          <w:sz w:val="30"/>
          <w:szCs w:val="30"/>
          <w:lang w:val="en-US" w:eastAsia="zh-CN"/>
        </w:rPr>
        <w:t>136</w:t>
      </w:r>
      <w:r>
        <w:rPr>
          <w:rFonts w:ascii="宋体" w:hAnsi="宋体"/>
          <w:color w:val="000000"/>
          <w:sz w:val="30"/>
          <w:szCs w:val="30"/>
        </w:rPr>
        <w:t>万元</w:t>
      </w:r>
      <w:r>
        <w:rPr>
          <w:rFonts w:hint="eastAsia" w:ascii="宋体" w:hAnsi="宋体"/>
          <w:color w:val="000000"/>
          <w:sz w:val="30"/>
          <w:szCs w:val="30"/>
        </w:rPr>
        <w:t>。</w:t>
      </w:r>
      <w:r>
        <w:rPr>
          <w:rFonts w:ascii="宋体" w:hAnsi="宋体"/>
          <w:color w:val="000000"/>
          <w:sz w:val="30"/>
          <w:szCs w:val="30"/>
        </w:rPr>
        <w:t>　 </w:t>
      </w:r>
      <w:r>
        <w:rPr>
          <w:rStyle w:val="7"/>
          <w:rFonts w:ascii="宋体" w:hAnsi="宋体"/>
          <w:color w:val="000000"/>
          <w:sz w:val="30"/>
          <w:szCs w:val="30"/>
        </w:rPr>
        <w:t> </w:t>
      </w:r>
    </w:p>
    <w:p>
      <w:pPr>
        <w:pStyle w:val="4"/>
        <w:shd w:val="clear" w:color="auto" w:fill="FFFFFF"/>
        <w:spacing w:before="0" w:beforeAutospacing="0" w:after="0" w:afterAutospacing="0" w:line="315" w:lineRule="atLeast"/>
        <w:ind w:firstLine="585"/>
        <w:rPr>
          <w:rFonts w:hint="eastAsia" w:ascii="宋体" w:hAnsi="宋体"/>
          <w:color w:val="000000"/>
          <w:sz w:val="21"/>
          <w:szCs w:val="21"/>
        </w:rPr>
      </w:pPr>
      <w:r>
        <w:rPr>
          <w:rFonts w:ascii="宋体" w:hAnsi="宋体"/>
          <w:color w:val="000000"/>
          <w:sz w:val="30"/>
          <w:szCs w:val="30"/>
        </w:rPr>
        <w:t>（二）部门决算中项目绩效自评结果（选择1至2个项目）。</w:t>
      </w:r>
    </w:p>
    <w:p>
      <w:pPr>
        <w:pStyle w:val="4"/>
        <w:shd w:val="clear" w:color="auto" w:fill="FFFFFF"/>
        <w:spacing w:before="0" w:beforeAutospacing="0" w:after="0" w:afterAutospacing="0" w:line="315" w:lineRule="atLeast"/>
        <w:ind w:firstLine="585"/>
        <w:rPr>
          <w:rFonts w:hint="eastAsia" w:ascii="宋体" w:hAnsi="宋体"/>
          <w:color w:val="000000"/>
          <w:sz w:val="21"/>
          <w:szCs w:val="21"/>
        </w:rPr>
      </w:pPr>
      <w:r>
        <w:rPr>
          <w:rFonts w:ascii="宋体" w:hAnsi="宋体"/>
          <w:color w:val="000000"/>
          <w:sz w:val="30"/>
          <w:szCs w:val="30"/>
        </w:rPr>
        <w:t>我部门今年在市级部门决算中反映</w:t>
      </w:r>
      <w:r>
        <w:rPr>
          <w:rFonts w:hint="eastAsia" w:ascii="宋体" w:hAnsi="宋体"/>
          <w:color w:val="000000"/>
          <w:sz w:val="30"/>
          <w:szCs w:val="30"/>
        </w:rPr>
        <w:t>机关大院项目经费</w:t>
      </w:r>
      <w:r>
        <w:rPr>
          <w:rFonts w:ascii="宋体" w:hAnsi="宋体"/>
          <w:color w:val="000000"/>
          <w:sz w:val="30"/>
          <w:szCs w:val="30"/>
        </w:rPr>
        <w:t>项目绩效自评结果。</w:t>
      </w:r>
    </w:p>
    <w:p>
      <w:pPr>
        <w:pStyle w:val="4"/>
        <w:shd w:val="clear" w:color="auto" w:fill="FFFFFF"/>
        <w:spacing w:before="0" w:beforeAutospacing="0" w:after="0" w:afterAutospacing="0" w:line="315" w:lineRule="atLeast"/>
        <w:ind w:firstLine="585"/>
        <w:rPr>
          <w:rFonts w:hint="eastAsia" w:ascii="宋体" w:hAnsi="宋体"/>
          <w:color w:val="000000"/>
          <w:sz w:val="21"/>
          <w:szCs w:val="21"/>
        </w:rPr>
      </w:pPr>
      <w:r>
        <w:rPr>
          <w:rFonts w:hint="eastAsia" w:ascii="宋体" w:hAnsi="宋体"/>
          <w:color w:val="000000"/>
          <w:sz w:val="30"/>
          <w:szCs w:val="30"/>
        </w:rPr>
        <w:t>机关大院</w:t>
      </w:r>
      <w:r>
        <w:rPr>
          <w:rFonts w:hint="eastAsia"/>
          <w:color w:val="000000"/>
          <w:sz w:val="30"/>
          <w:szCs w:val="30"/>
          <w:lang w:eastAsia="zh-CN"/>
        </w:rPr>
        <w:t>水电维修和物业管理</w:t>
      </w:r>
      <w:r>
        <w:rPr>
          <w:rFonts w:hint="eastAsia" w:ascii="宋体" w:hAnsi="宋体"/>
          <w:color w:val="000000"/>
          <w:sz w:val="30"/>
          <w:szCs w:val="30"/>
        </w:rPr>
        <w:t>费</w:t>
      </w:r>
      <w:r>
        <w:rPr>
          <w:rFonts w:ascii="宋体" w:hAnsi="宋体"/>
          <w:color w:val="000000"/>
          <w:sz w:val="30"/>
          <w:szCs w:val="30"/>
        </w:rPr>
        <w:t>项目绩效自评综述：根据年初设定的绩效目标，</w:t>
      </w:r>
      <w:r>
        <w:rPr>
          <w:rStyle w:val="7"/>
          <w:rFonts w:ascii="宋体" w:hAnsi="宋体"/>
          <w:color w:val="000000"/>
          <w:sz w:val="30"/>
          <w:szCs w:val="30"/>
        </w:rPr>
        <w:t> </w:t>
      </w:r>
      <w:r>
        <w:rPr>
          <w:rFonts w:ascii="宋体" w:hAnsi="宋体"/>
          <w:color w:val="000000"/>
          <w:sz w:val="30"/>
          <w:szCs w:val="30"/>
        </w:rPr>
        <w:t>项目绩效自评得分为</w:t>
      </w:r>
      <w:r>
        <w:rPr>
          <w:rFonts w:hint="eastAsia"/>
          <w:color w:val="000000"/>
          <w:sz w:val="30"/>
          <w:szCs w:val="30"/>
          <w:lang w:val="en-US" w:eastAsia="zh-CN"/>
        </w:rPr>
        <w:t>96</w:t>
      </w:r>
      <w:r>
        <w:rPr>
          <w:rFonts w:ascii="宋体" w:hAnsi="宋体"/>
          <w:color w:val="000000"/>
          <w:sz w:val="30"/>
          <w:szCs w:val="30"/>
        </w:rPr>
        <w:t>分。项目全年预算数为 </w:t>
      </w:r>
      <w:r>
        <w:rPr>
          <w:rFonts w:hint="eastAsia"/>
          <w:color w:val="000000"/>
          <w:sz w:val="30"/>
          <w:szCs w:val="30"/>
          <w:lang w:val="en-US" w:eastAsia="zh-CN"/>
        </w:rPr>
        <w:t>136</w:t>
      </w:r>
      <w:r>
        <w:rPr>
          <w:rFonts w:ascii="宋体" w:hAnsi="宋体"/>
          <w:color w:val="000000"/>
          <w:sz w:val="30"/>
          <w:szCs w:val="30"/>
        </w:rPr>
        <w:t>万元，执行数为</w:t>
      </w:r>
      <w:r>
        <w:rPr>
          <w:rFonts w:hint="eastAsia"/>
          <w:color w:val="000000"/>
          <w:sz w:val="30"/>
          <w:szCs w:val="30"/>
          <w:lang w:val="en-US" w:eastAsia="zh-CN"/>
        </w:rPr>
        <w:t>136</w:t>
      </w:r>
      <w:r>
        <w:rPr>
          <w:rFonts w:ascii="宋体" w:hAnsi="宋体"/>
          <w:color w:val="000000"/>
          <w:sz w:val="30"/>
          <w:szCs w:val="30"/>
        </w:rPr>
        <w:t>万元，完成预算的</w:t>
      </w:r>
      <w:r>
        <w:rPr>
          <w:rFonts w:hint="eastAsia" w:ascii="宋体" w:hAnsi="宋体"/>
          <w:color w:val="000000"/>
          <w:sz w:val="30"/>
          <w:szCs w:val="30"/>
        </w:rPr>
        <w:t>100</w:t>
      </w:r>
      <w:r>
        <w:rPr>
          <w:rFonts w:ascii="宋体" w:hAnsi="宋体"/>
          <w:color w:val="000000"/>
          <w:sz w:val="30"/>
          <w:szCs w:val="30"/>
        </w:rPr>
        <w:t> %。主要产出和效果：一</w:t>
      </w:r>
      <w:r>
        <w:rPr>
          <w:rFonts w:hint="eastAsia" w:ascii="宋体" w:hAnsi="宋体"/>
          <w:color w:val="000000"/>
          <w:sz w:val="30"/>
          <w:szCs w:val="30"/>
        </w:rPr>
        <w:t>是质量指标</w:t>
      </w:r>
      <w:r>
        <w:rPr>
          <w:rFonts w:ascii="宋体" w:hAnsi="宋体"/>
          <w:color w:val="000000"/>
          <w:sz w:val="30"/>
          <w:szCs w:val="30"/>
        </w:rPr>
        <w:t>；二是</w:t>
      </w:r>
      <w:r>
        <w:rPr>
          <w:rFonts w:hint="eastAsia" w:ascii="宋体" w:hAnsi="宋体"/>
          <w:color w:val="000000"/>
          <w:sz w:val="30"/>
          <w:szCs w:val="30"/>
        </w:rPr>
        <w:t>服务对象满意度</w:t>
      </w:r>
      <w:r>
        <w:rPr>
          <w:rFonts w:ascii="宋体" w:hAnsi="宋体"/>
          <w:color w:val="000000"/>
          <w:sz w:val="30"/>
          <w:szCs w:val="30"/>
        </w:rPr>
        <w:t>。发现的问题及原因：一是</w:t>
      </w:r>
      <w:r>
        <w:rPr>
          <w:rFonts w:hint="eastAsia" w:ascii="宋体" w:hAnsi="宋体"/>
          <w:color w:val="000000"/>
          <w:sz w:val="30"/>
          <w:szCs w:val="30"/>
        </w:rPr>
        <w:t>有维修情况发生</w:t>
      </w:r>
      <w:r>
        <w:rPr>
          <w:rFonts w:ascii="宋体" w:hAnsi="宋体"/>
          <w:color w:val="000000"/>
          <w:sz w:val="30"/>
          <w:szCs w:val="30"/>
        </w:rPr>
        <w:t>；二是</w:t>
      </w:r>
      <w:r>
        <w:rPr>
          <w:rFonts w:hint="eastAsia" w:ascii="宋体" w:hAnsi="宋体"/>
          <w:color w:val="000000"/>
          <w:sz w:val="30"/>
          <w:szCs w:val="30"/>
        </w:rPr>
        <w:t>服务对象满意度不高</w:t>
      </w:r>
      <w:r>
        <w:rPr>
          <w:rFonts w:ascii="宋体" w:hAnsi="宋体"/>
          <w:color w:val="000000"/>
          <w:sz w:val="30"/>
          <w:szCs w:val="30"/>
        </w:rPr>
        <w:t>。下一步改进措施：一是</w:t>
      </w:r>
      <w:r>
        <w:rPr>
          <w:rFonts w:hint="eastAsia" w:ascii="宋体" w:hAnsi="宋体"/>
          <w:color w:val="000000"/>
          <w:sz w:val="30"/>
          <w:szCs w:val="30"/>
        </w:rPr>
        <w:t>严抓质量关</w:t>
      </w:r>
      <w:r>
        <w:rPr>
          <w:rFonts w:ascii="宋体" w:hAnsi="宋体"/>
          <w:color w:val="000000"/>
          <w:sz w:val="30"/>
          <w:szCs w:val="30"/>
        </w:rPr>
        <w:t>；二是</w:t>
      </w:r>
      <w:r>
        <w:rPr>
          <w:rFonts w:hint="eastAsia" w:ascii="宋体" w:hAnsi="宋体"/>
          <w:color w:val="000000"/>
          <w:sz w:val="30"/>
          <w:szCs w:val="30"/>
        </w:rPr>
        <w:t>提高服务质量，让服务对象满意</w:t>
      </w:r>
      <w:r>
        <w:rPr>
          <w:rFonts w:ascii="宋体" w:hAnsi="宋体"/>
          <w:color w:val="000000"/>
          <w:sz w:val="30"/>
          <w:szCs w:val="30"/>
        </w:rPr>
        <w:t>。</w:t>
      </w:r>
    </w:p>
    <w:p>
      <w:pPr>
        <w:pStyle w:val="4"/>
        <w:shd w:val="clear" w:color="auto" w:fill="FFFFFF"/>
        <w:spacing w:before="0" w:beforeAutospacing="0" w:after="0" w:afterAutospacing="0" w:line="315" w:lineRule="atLeast"/>
        <w:rPr>
          <w:rFonts w:hint="eastAsia" w:ascii="宋体" w:hAnsi="宋体"/>
          <w:color w:val="000000"/>
          <w:sz w:val="21"/>
          <w:szCs w:val="21"/>
        </w:rPr>
      </w:pPr>
      <w:r>
        <w:rPr>
          <w:rFonts w:ascii="宋体" w:hAnsi="宋体"/>
          <w:color w:val="000000"/>
          <w:sz w:val="30"/>
          <w:szCs w:val="30"/>
        </w:rPr>
        <w:t>　 </w:t>
      </w:r>
      <w:r>
        <w:rPr>
          <w:rStyle w:val="7"/>
          <w:rFonts w:ascii="宋体" w:hAnsi="宋体"/>
          <w:color w:val="000000"/>
          <w:sz w:val="30"/>
          <w:szCs w:val="30"/>
        </w:rPr>
        <w:t> </w:t>
      </w:r>
      <w:r>
        <w:rPr>
          <w:rFonts w:hint="eastAsia" w:ascii="宋体" w:hAnsi="宋体"/>
          <w:color w:val="000000"/>
          <w:sz w:val="30"/>
          <w:szCs w:val="30"/>
        </w:rPr>
        <w:t>机关大院</w:t>
      </w:r>
      <w:r>
        <w:rPr>
          <w:rFonts w:hint="eastAsia"/>
          <w:color w:val="000000"/>
          <w:sz w:val="30"/>
          <w:szCs w:val="30"/>
          <w:lang w:eastAsia="zh-CN"/>
        </w:rPr>
        <w:t>水电维修</w:t>
      </w:r>
      <w:r>
        <w:rPr>
          <w:rFonts w:hint="eastAsia" w:ascii="宋体" w:hAnsi="宋体"/>
          <w:color w:val="000000"/>
          <w:sz w:val="30"/>
          <w:szCs w:val="30"/>
        </w:rPr>
        <w:t>费</w:t>
      </w:r>
      <w:r>
        <w:rPr>
          <w:rFonts w:hint="eastAsia"/>
          <w:color w:val="000000"/>
          <w:sz w:val="30"/>
          <w:szCs w:val="30"/>
          <w:lang w:eastAsia="zh-CN"/>
        </w:rPr>
        <w:t>和物业管理费</w:t>
      </w:r>
      <w:r>
        <w:rPr>
          <w:rFonts w:ascii="宋体" w:hAnsi="宋体"/>
          <w:color w:val="000000"/>
          <w:sz w:val="30"/>
          <w:szCs w:val="30"/>
        </w:rPr>
        <w:t>绩效自评综述</w:t>
      </w:r>
      <w:r>
        <w:rPr>
          <w:rFonts w:hint="eastAsia" w:ascii="宋体" w:hAnsi="宋体"/>
          <w:color w:val="000000"/>
          <w:sz w:val="30"/>
          <w:szCs w:val="30"/>
        </w:rPr>
        <w:t>：做好房屋和水电设施的维修、保养及大院美化、绿化等工作；维护大院的治安秩序、环境卫生管理；做好全市公共机构节能宣传</w:t>
      </w:r>
      <w:r>
        <w:rPr>
          <w:rFonts w:ascii="宋体" w:hAnsi="宋体"/>
          <w:color w:val="000000"/>
          <w:sz w:val="30"/>
          <w:szCs w:val="30"/>
        </w:rPr>
        <w:t>。</w:t>
      </w:r>
    </w:p>
    <w:p>
      <w:pPr>
        <w:widowControl/>
        <w:shd w:val="clear" w:color="auto" w:fill="FFFFFF"/>
        <w:spacing w:line="500" w:lineRule="atLeast"/>
        <w:ind w:firstLine="840" w:firstLineChars="300"/>
        <w:jc w:val="left"/>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第四部分</w:t>
      </w:r>
      <w:r>
        <w:rPr>
          <w:rFonts w:ascii="宋体" w:hAnsi="宋体" w:eastAsia="宋体" w:cs="宋体"/>
          <w:b/>
          <w:bCs/>
          <w:color w:val="000000"/>
          <w:kern w:val="0"/>
          <w:sz w:val="44"/>
          <w:szCs w:val="44"/>
        </w:rPr>
        <w:t> </w:t>
      </w:r>
      <w:r>
        <w:rPr>
          <w:rFonts w:ascii="宋体" w:hAnsi="宋体" w:eastAsia="宋体" w:cs="宋体"/>
          <w:b/>
          <w:bCs/>
          <w:color w:val="000000"/>
          <w:kern w:val="0"/>
          <w:sz w:val="44"/>
        </w:rPr>
        <w:t> </w:t>
      </w:r>
      <w:r>
        <w:rPr>
          <w:rFonts w:ascii="宋体" w:hAnsi="宋体" w:eastAsia="宋体" w:cs="宋体"/>
          <w:b/>
          <w:bCs/>
          <w:color w:val="000000"/>
          <w:kern w:val="0"/>
          <w:sz w:val="28"/>
          <w:szCs w:val="28"/>
        </w:rPr>
        <w:t>名词解释</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一、财政拨款收入</w:t>
      </w:r>
      <w:r>
        <w:rPr>
          <w:rFonts w:ascii="宋体" w:hAnsi="宋体" w:eastAsia="宋体" w:cs="宋体"/>
          <w:color w:val="000000"/>
          <w:kern w:val="0"/>
          <w:sz w:val="28"/>
          <w:szCs w:val="28"/>
        </w:rPr>
        <w:t>：指由市级财政当年拨付的资金。按现行管理制度，市级部门决算中反映的财政拨款包括一般公共预算财政拨款和政府性基金财政拨款。</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二、其他收入：</w:t>
      </w:r>
      <w:r>
        <w:rPr>
          <w:rFonts w:ascii="宋体" w:hAnsi="宋体" w:eastAsia="宋体" w:cs="宋体"/>
          <w:color w:val="000000"/>
          <w:kern w:val="0"/>
          <w:sz w:val="28"/>
          <w:szCs w:val="28"/>
        </w:rPr>
        <w:t>指单位取得的除“财政拨款收入”“上级补助收入”“事业收入”“经营收入”“附属单位上缴收入”等以外的各项收入。</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三</w:t>
      </w:r>
      <w:r>
        <w:rPr>
          <w:rFonts w:ascii="宋体" w:hAnsi="宋体" w:eastAsia="宋体" w:cs="宋体"/>
          <w:b/>
          <w:bCs/>
          <w:color w:val="000000"/>
          <w:kern w:val="0"/>
          <w:sz w:val="28"/>
          <w:szCs w:val="28"/>
        </w:rPr>
        <w:t>、年初结转和结余：</w:t>
      </w:r>
      <w:r>
        <w:rPr>
          <w:rFonts w:ascii="宋体" w:hAnsi="宋体" w:eastAsia="宋体" w:cs="宋体"/>
          <w:color w:val="000000"/>
          <w:kern w:val="0"/>
          <w:sz w:val="28"/>
          <w:szCs w:val="28"/>
        </w:rPr>
        <w:t>指以前年度尚未完成、结转到本年仍按原规定用途继续使用的资金，或项目已完成等产生的结余资金。</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四</w:t>
      </w:r>
      <w:r>
        <w:rPr>
          <w:rFonts w:ascii="宋体" w:hAnsi="宋体" w:eastAsia="宋体" w:cs="宋体"/>
          <w:b/>
          <w:bCs/>
          <w:color w:val="000000"/>
          <w:kern w:val="0"/>
          <w:sz w:val="28"/>
          <w:szCs w:val="28"/>
        </w:rPr>
        <w:t>、年末结转和结余：</w:t>
      </w:r>
      <w:r>
        <w:rPr>
          <w:rFonts w:ascii="宋体" w:hAnsi="宋体" w:eastAsia="宋体" w:cs="宋体"/>
          <w:color w:val="000000"/>
          <w:kern w:val="0"/>
          <w:sz w:val="28"/>
          <w:szCs w:val="28"/>
        </w:rPr>
        <w:t>指单位按照有关规定结转到下年继续使用的资金，或项目已完成等产生的结余资金。</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五</w:t>
      </w:r>
      <w:r>
        <w:rPr>
          <w:rFonts w:ascii="宋体" w:hAnsi="宋体" w:eastAsia="宋体" w:cs="宋体"/>
          <w:b/>
          <w:bCs/>
          <w:color w:val="000000"/>
          <w:kern w:val="0"/>
          <w:sz w:val="28"/>
          <w:szCs w:val="28"/>
        </w:rPr>
        <w:t>、基本支出：</w:t>
      </w:r>
      <w:r>
        <w:rPr>
          <w:rFonts w:ascii="宋体" w:hAnsi="宋体" w:eastAsia="宋体" w:cs="宋体"/>
          <w:color w:val="000000"/>
          <w:kern w:val="0"/>
          <w:sz w:val="28"/>
          <w:szCs w:val="28"/>
        </w:rPr>
        <w:t>指单位为保障其机构正常运转、完成日常工作任务而发生的各项支出。</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六</w:t>
      </w:r>
      <w:r>
        <w:rPr>
          <w:rFonts w:ascii="宋体" w:hAnsi="宋体" w:eastAsia="宋体" w:cs="宋体"/>
          <w:b/>
          <w:bCs/>
          <w:color w:val="000000"/>
          <w:kern w:val="0"/>
          <w:sz w:val="28"/>
          <w:szCs w:val="28"/>
        </w:rPr>
        <w:t>、项目支出：</w:t>
      </w:r>
      <w:r>
        <w:rPr>
          <w:rFonts w:ascii="宋体" w:hAnsi="宋体" w:eastAsia="宋体" w:cs="宋体"/>
          <w:color w:val="000000"/>
          <w:kern w:val="0"/>
          <w:sz w:val="28"/>
          <w:szCs w:val="28"/>
        </w:rPr>
        <w:t>指单位在基本支出之外为完成特定工作任务或事业发展目标所发生的支出。</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七</w:t>
      </w:r>
      <w:r>
        <w:rPr>
          <w:rFonts w:ascii="宋体" w:hAnsi="宋体" w:eastAsia="宋体" w:cs="宋体"/>
          <w:b/>
          <w:bCs/>
          <w:color w:val="000000"/>
          <w:kern w:val="0"/>
          <w:sz w:val="28"/>
          <w:szCs w:val="28"/>
        </w:rPr>
        <w:t>、“三公”经费：</w:t>
      </w:r>
      <w:r>
        <w:rPr>
          <w:rFonts w:ascii="宋体" w:hAnsi="宋体" w:eastAsia="宋体" w:cs="宋体"/>
          <w:color w:val="000000"/>
          <w:kern w:val="0"/>
          <w:sz w:val="28"/>
          <w:szCs w:val="28"/>
        </w:rPr>
        <w:t>指市级部门用财政拨款安排的因公出国（境）费、公务用车购置及运行费和公务接待费。其中，因公出国（境）费反映单位公务出国（境）的差旅费、伙食补助费、杂费、培训费等支出；公务用车购置及运行费反映单位公务用车购置费（含车辆购置税）及租用费、燃料费、维修费、过路过桥费、保险费等支出；公务接待费反映单位按规定开支的各类公务接待（含外宾接待）支出。</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八</w:t>
      </w:r>
      <w:bookmarkStart w:id="0" w:name="_GoBack"/>
      <w:bookmarkEnd w:id="0"/>
      <w:r>
        <w:rPr>
          <w:rFonts w:ascii="宋体" w:hAnsi="宋体" w:eastAsia="宋体" w:cs="宋体"/>
          <w:b/>
          <w:bCs/>
          <w:color w:val="000000"/>
          <w:kern w:val="0"/>
          <w:sz w:val="28"/>
          <w:szCs w:val="28"/>
        </w:rPr>
        <w:t>、机关运行经费：</w:t>
      </w:r>
      <w:r>
        <w:rPr>
          <w:rFonts w:ascii="宋体" w:hAnsi="宋体" w:eastAsia="宋体" w:cs="宋体"/>
          <w:color w:val="000000"/>
          <w:kern w:val="0"/>
          <w:sz w:val="28"/>
          <w:szCs w:val="28"/>
        </w:rPr>
        <w:t>指为保障行政单位</w:t>
      </w:r>
      <w:r>
        <w:rPr>
          <w:rFonts w:ascii="宋体" w:hAnsi="宋体" w:eastAsia="宋体" w:cs="宋体"/>
          <w:color w:val="000000"/>
          <w:kern w:val="0"/>
          <w:sz w:val="44"/>
          <w:szCs w:val="44"/>
        </w:rPr>
        <w:t>(</w:t>
      </w:r>
      <w:r>
        <w:rPr>
          <w:rFonts w:ascii="宋体" w:hAnsi="宋体" w:eastAsia="宋体" w:cs="宋体"/>
          <w:color w:val="000000"/>
          <w:kern w:val="0"/>
          <w:sz w:val="28"/>
          <w:szCs w:val="28"/>
        </w:rPr>
        <w:t>含参照公务员法管理的事业单位</w:t>
      </w:r>
      <w:r>
        <w:rPr>
          <w:rFonts w:ascii="宋体" w:hAnsi="宋体" w:eastAsia="宋体" w:cs="宋体"/>
          <w:color w:val="000000"/>
          <w:kern w:val="0"/>
          <w:sz w:val="44"/>
          <w:szCs w:val="44"/>
        </w:rPr>
        <w:t>)</w:t>
      </w:r>
      <w:r>
        <w:rPr>
          <w:rFonts w:ascii="宋体" w:hAnsi="宋体" w:eastAsia="宋体" w:cs="宋体"/>
          <w:color w:val="000000"/>
          <w:kern w:val="0"/>
          <w:sz w:val="28"/>
          <w:szCs w:val="28"/>
        </w:rPr>
        <w:t>运行用于购买货物和服务的各项资金，包括办公费、印刷费、咨询费、手续费、水费、电费、邮电费、取暖费、物业管理费、差旅费、因公出国（境）费、维修（护）费、租赁费、会议费、培训费、公务接待费、专用材料费、劳务费、委托业务费、工会经费、福利费、公务用车运行维护费以及其他费用等。</w:t>
      </w:r>
    </w:p>
    <w:p>
      <w:pPr>
        <w:rPr>
          <w:rFonts w:hint="default" w:eastAsiaTheme="minorEastAsia"/>
          <w:lang w:val="en-US" w:eastAsia="zh-CN"/>
        </w:rPr>
      </w:pPr>
      <w:r>
        <w:rPr>
          <w:rFonts w:hint="eastAsia"/>
          <w:lang w:val="en-US" w:eastAsia="zh-CN"/>
        </w:rPr>
        <w:t xml:space="preserve">       </w:t>
      </w:r>
    </w:p>
    <w:sectPr>
      <w:pgSz w:w="11906" w:h="16838"/>
      <w:pgMar w:top="1440" w:right="1800" w:bottom="1440"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61F4D"/>
    <w:multiLevelType w:val="singleLevel"/>
    <w:tmpl w:val="2C661F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77B49"/>
    <w:rsid w:val="00075834"/>
    <w:rsid w:val="0008138C"/>
    <w:rsid w:val="00150B67"/>
    <w:rsid w:val="001C4E17"/>
    <w:rsid w:val="001D68AD"/>
    <w:rsid w:val="00255685"/>
    <w:rsid w:val="002B3C2D"/>
    <w:rsid w:val="00310543"/>
    <w:rsid w:val="00365FB5"/>
    <w:rsid w:val="003A66D8"/>
    <w:rsid w:val="003B5E60"/>
    <w:rsid w:val="003B7DE5"/>
    <w:rsid w:val="003F592E"/>
    <w:rsid w:val="003F7BB2"/>
    <w:rsid w:val="00451545"/>
    <w:rsid w:val="004A0EB5"/>
    <w:rsid w:val="00557FAC"/>
    <w:rsid w:val="00560E88"/>
    <w:rsid w:val="005923F9"/>
    <w:rsid w:val="005B7234"/>
    <w:rsid w:val="00603ACC"/>
    <w:rsid w:val="00616A76"/>
    <w:rsid w:val="006244EB"/>
    <w:rsid w:val="00673A71"/>
    <w:rsid w:val="006B0855"/>
    <w:rsid w:val="006B3BE2"/>
    <w:rsid w:val="006D60F4"/>
    <w:rsid w:val="007461D1"/>
    <w:rsid w:val="0075069D"/>
    <w:rsid w:val="00795176"/>
    <w:rsid w:val="007A28C2"/>
    <w:rsid w:val="008B3899"/>
    <w:rsid w:val="008C4949"/>
    <w:rsid w:val="00927A1D"/>
    <w:rsid w:val="00A44148"/>
    <w:rsid w:val="00A822B5"/>
    <w:rsid w:val="00AE6AD1"/>
    <w:rsid w:val="00B37CB2"/>
    <w:rsid w:val="00B4139F"/>
    <w:rsid w:val="00BA43F7"/>
    <w:rsid w:val="00BC6611"/>
    <w:rsid w:val="00BE1E3B"/>
    <w:rsid w:val="00C640CF"/>
    <w:rsid w:val="00C77B49"/>
    <w:rsid w:val="00CF4DD6"/>
    <w:rsid w:val="00D255E9"/>
    <w:rsid w:val="00D25A84"/>
    <w:rsid w:val="00D64949"/>
    <w:rsid w:val="00D85840"/>
    <w:rsid w:val="00DA2D57"/>
    <w:rsid w:val="00E459DB"/>
    <w:rsid w:val="00EA0A15"/>
    <w:rsid w:val="00EB1FA5"/>
    <w:rsid w:val="00EE7D35"/>
    <w:rsid w:val="00F61444"/>
    <w:rsid w:val="00FC5947"/>
    <w:rsid w:val="11B61601"/>
    <w:rsid w:val="1E7515ED"/>
    <w:rsid w:val="4A187B2B"/>
    <w:rsid w:val="503B79E8"/>
    <w:rsid w:val="5C353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apple-converted-space"/>
    <w:basedOn w:val="6"/>
    <w:qFormat/>
    <w:uiPriority w:val="0"/>
  </w:style>
  <w:style w:type="paragraph" w:styleId="8">
    <w:name w:val="List Paragraph"/>
    <w:basedOn w:val="1"/>
    <w:qFormat/>
    <w:uiPriority w:val="34"/>
    <w:pPr>
      <w:ind w:firstLine="420" w:firstLineChars="200"/>
    </w:pPr>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1505</Words>
  <Characters>8582</Characters>
  <Lines>71</Lines>
  <Paragraphs>20</Paragraphs>
  <TotalTime>20</TotalTime>
  <ScaleCrop>false</ScaleCrop>
  <LinksUpToDate>false</LinksUpToDate>
  <CharactersWithSpaces>10067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2018-09-10T02:49:00Z</dcterms:created>
  <dc:creator>Administrator</dc:creator>
  <cp:lastModifiedBy>Administrator</cp:lastModifiedBy>
  <dcterms:modified xsi:type="dcterms:W3CDTF">2019-09-17T08:02:44Z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