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jc w:val="center"/>
        <w:rPr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0"/>
          <w:sz w:val="44"/>
          <w:szCs w:val="32"/>
          <w:lang w:eastAsia="zh-CN"/>
        </w:rPr>
        <w:t>革命老区转移支付</w:t>
      </w:r>
      <w:r>
        <w:rPr>
          <w:rFonts w:hint="eastAsia" w:ascii="方正小标宋简体" w:hAnsi="宋体" w:eastAsia="方正小标宋简体" w:cs="方正小标宋简体"/>
          <w:kern w:val="0"/>
          <w:sz w:val="44"/>
          <w:szCs w:val="32"/>
        </w:rPr>
        <w:t>项目绩效</w:t>
      </w:r>
      <w:r>
        <w:rPr>
          <w:rFonts w:hint="eastAsia" w:ascii="方正小标宋简体" w:hAnsi="宋体" w:eastAsia="方正小标宋简体" w:cs="方正小标宋简体"/>
          <w:kern w:val="0"/>
          <w:sz w:val="44"/>
          <w:szCs w:val="32"/>
          <w:lang w:eastAsia="zh-CN"/>
        </w:rPr>
        <w:t>目标</w:t>
      </w:r>
      <w:r>
        <w:rPr>
          <w:rFonts w:hint="eastAsia" w:ascii="方正小标宋简体" w:hAnsi="宋体" w:eastAsia="方正小标宋简体" w:cs="方正小标宋简体"/>
          <w:kern w:val="0"/>
          <w:sz w:val="44"/>
          <w:szCs w:val="32"/>
        </w:rPr>
        <w:t>自评表</w:t>
      </w:r>
    </w:p>
    <w:tbl>
      <w:tblPr>
        <w:tblStyle w:val="4"/>
        <w:tblW w:w="88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725"/>
        <w:gridCol w:w="1137"/>
        <w:gridCol w:w="888"/>
        <w:gridCol w:w="1375"/>
        <w:gridCol w:w="1150"/>
        <w:gridCol w:w="811"/>
        <w:gridCol w:w="389"/>
        <w:gridCol w:w="16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880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楷体_GB2312" w:hAnsi="楷体_GB2312" w:eastAsia="楷体_GB2312" w:cs="宋体"/>
                <w:kern w:val="0"/>
                <w:sz w:val="18"/>
              </w:rPr>
              <w:t>（</w:t>
            </w:r>
            <w:r>
              <w:rPr>
                <w:rFonts w:hint="eastAsia" w:ascii="楷体_GB2312" w:hAnsi="楷体_GB2312" w:eastAsia="楷体_GB2312" w:cs="宋体"/>
                <w:kern w:val="0"/>
                <w:sz w:val="18"/>
                <w:lang w:val="en-US" w:eastAsia="zh-CN"/>
              </w:rPr>
              <w:t>2021</w:t>
            </w:r>
            <w:r>
              <w:rPr>
                <w:rFonts w:hint="eastAsia" w:ascii="楷体_GB2312" w:hAnsi="楷体_GB2312" w:eastAsia="楷体_GB2312" w:cs="宋体"/>
                <w:kern w:val="0"/>
                <w:sz w:val="18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转移支付名称</w:t>
            </w:r>
          </w:p>
        </w:tc>
        <w:tc>
          <w:tcPr>
            <w:tcW w:w="74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2021年革命老区转移支付补助资金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（樟树市）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中央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74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财政部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地方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3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宜春市财政局</w:t>
            </w:r>
          </w:p>
        </w:tc>
        <w:tc>
          <w:tcPr>
            <w:tcW w:w="1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资金使用单位</w:t>
            </w:r>
          </w:p>
        </w:tc>
        <w:tc>
          <w:tcPr>
            <w:tcW w:w="20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樟树市有关乡镇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39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资金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情况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全年预算数A</w:t>
            </w:r>
          </w:p>
        </w:tc>
        <w:tc>
          <w:tcPr>
            <w:tcW w:w="1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全年执行数B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预算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执行率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%（B/A）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3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2302</w:t>
            </w:r>
          </w:p>
        </w:tc>
        <w:tc>
          <w:tcPr>
            <w:tcW w:w="1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816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35.45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3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其中：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中央财政资金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1975</w:t>
            </w:r>
          </w:p>
        </w:tc>
        <w:tc>
          <w:tcPr>
            <w:tcW w:w="1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816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41.32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3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地方资金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3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其他资金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327（单位自筹）</w:t>
            </w:r>
          </w:p>
        </w:tc>
        <w:tc>
          <w:tcPr>
            <w:tcW w:w="1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6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总体目标完成情况</w:t>
            </w:r>
          </w:p>
        </w:tc>
        <w:tc>
          <w:tcPr>
            <w:tcW w:w="41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总体目标</w:t>
            </w:r>
          </w:p>
        </w:tc>
        <w:tc>
          <w:tcPr>
            <w:tcW w:w="40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全年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实际完成情况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exact"/>
          <w:jc w:val="center"/>
        </w:trPr>
        <w:tc>
          <w:tcPr>
            <w:tcW w:w="6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1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2021年我市共有8个革命老区项目，覆盖4个乡镇，预计完成乡村公路修复修整、改扩建道路共计14900m；乡村公路亮化覆盖公路共计19500m、安装路灯783盏；农贸市场改扩建建筑面积共计13900㎡、设摊位540个；防洪排水改善灌溉农田面积6200亩。</w:t>
            </w:r>
          </w:p>
        </w:tc>
        <w:tc>
          <w:tcPr>
            <w:tcW w:w="40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2021年我市实际完成乡村公路修复修整、改扩建道路共计14900m；乡村公路亮化覆盖公路共计19500m、安装路灯783盏；农贸市场改扩建建筑面积7900㎡；防洪排水改善灌溉农田面积6200亩。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66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绩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指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标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指标值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全年实际完成值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未完成原因和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1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新建公路里程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14200m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14200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m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路灯数量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783盏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783盏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农贸市场建设面积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13900㎡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7900㎡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因疫情未及时完成建设，预计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2022年10月完成建设。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改善灌溉农田面积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6200亩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6200亩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项目（工程）验收合格率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路灯亮灯率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农贸市场安全程度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优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优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1083"/>
                <w:tab w:val="right" w:pos="2047"/>
              </w:tabs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项目（工程）完成及时率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87.5%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因疫情未及时完成建设，预计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2022年10月完成建设。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工程建设造价低于当地平均标准的比例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单灯综合维护成本降低率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15%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25%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1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经济效益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建制村通客车率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农村物流网络覆盖率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50%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50%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路灯年养护费用降低率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5%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5%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农贸市场覆盖个体经营户数量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540个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240个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因疫情未及时完成建设，预计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2022年10月完成建设。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粮食年增长率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20%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20%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社会效益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受益人口数量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108157人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108157人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路灯运行时间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9小时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9小时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农贸市场卫生整洁度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优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优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抗旱排涝能力提高率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60%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60%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工程运行寿命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8年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8年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满意度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1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受益人口满意度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说明</w:t>
            </w:r>
          </w:p>
        </w:tc>
        <w:tc>
          <w:tcPr>
            <w:tcW w:w="81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5A5132"/>
    <w:rsid w:val="05D709B3"/>
    <w:rsid w:val="29D350E0"/>
    <w:rsid w:val="635A5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580" w:lineRule="exact"/>
      <w:ind w:firstLine="600"/>
    </w:pPr>
    <w:rPr>
      <w:rFonts w:ascii="仿宋_GB2312" w:eastAsia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2022-03-18T01:24:00Z</dcterms:created>
  <dc:creator>Administrator</dc:creator>
  <cp:lastModifiedBy>Administrator</cp:lastModifiedBy>
  <cp:lastPrinted>2022-03-18T02:42:40Z</cp:lastPrinted>
  <dcterms:modified xsi:type="dcterms:W3CDTF">2022-03-18T03:03:22Z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86BFE900F25F456EB8518E43B6534B76</vt:lpwstr>
  </property>
</Properties>
</file>