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i w:val="0"/>
          <w:iCs w:val="0"/>
          <w:caps w:val="0"/>
          <w:color w:val="333333"/>
          <w:spacing w:val="0"/>
          <w:sz w:val="44"/>
          <w:szCs w:val="44"/>
          <w:shd w:val="clear" w:fill="FFFFFF"/>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i w:val="0"/>
          <w:iCs w:val="0"/>
          <w:caps w:val="0"/>
          <w:color w:val="333333"/>
          <w:spacing w:val="0"/>
          <w:sz w:val="44"/>
          <w:szCs w:val="44"/>
          <w:shd w:val="clear" w:fill="FFFFFF"/>
        </w:rPr>
      </w:pPr>
      <w:r>
        <w:rPr>
          <w:rFonts w:hint="eastAsia" w:ascii="方正小标宋简体" w:hAnsi="方正小标宋简体" w:eastAsia="方正小标宋简体" w:cs="方正小标宋简体"/>
          <w:b/>
          <w:bCs/>
          <w:i w:val="0"/>
          <w:iCs w:val="0"/>
          <w:caps w:val="0"/>
          <w:color w:val="333333"/>
          <w:spacing w:val="0"/>
          <w:sz w:val="44"/>
          <w:szCs w:val="44"/>
          <w:shd w:val="clear" w:fill="FFFFFF"/>
        </w:rPr>
        <w:t>樟树市经楼镇人民政府</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i w:val="0"/>
          <w:iCs w:val="0"/>
          <w:caps w:val="0"/>
          <w:color w:val="333333"/>
          <w:spacing w:val="0"/>
          <w:sz w:val="44"/>
          <w:szCs w:val="44"/>
          <w:shd w:val="clear" w:fill="FFFFFF"/>
        </w:rPr>
      </w:pPr>
      <w:r>
        <w:rPr>
          <w:rFonts w:hint="eastAsia" w:ascii="方正小标宋简体" w:hAnsi="方正小标宋简体" w:eastAsia="方正小标宋简体" w:cs="方正小标宋简体"/>
          <w:b/>
          <w:bCs/>
          <w:i w:val="0"/>
          <w:iCs w:val="0"/>
          <w:caps w:val="0"/>
          <w:color w:val="333333"/>
          <w:spacing w:val="0"/>
          <w:sz w:val="44"/>
          <w:szCs w:val="44"/>
          <w:shd w:val="clear" w:fill="FFFFFF"/>
        </w:rPr>
        <w:t>20</w:t>
      </w:r>
      <w:r>
        <w:rPr>
          <w:rFonts w:hint="eastAsia" w:ascii="方正小标宋简体" w:hAnsi="方正小标宋简体" w:eastAsia="方正小标宋简体" w:cs="方正小标宋简体"/>
          <w:b/>
          <w:bCs/>
          <w:i w:val="0"/>
          <w:iCs w:val="0"/>
          <w:caps w:val="0"/>
          <w:color w:val="333333"/>
          <w:spacing w:val="0"/>
          <w:sz w:val="44"/>
          <w:szCs w:val="44"/>
          <w:shd w:val="clear" w:fill="FFFFFF"/>
          <w:lang w:val="en-US" w:eastAsia="zh-CN"/>
        </w:rPr>
        <w:t>09</w:t>
      </w:r>
      <w:r>
        <w:rPr>
          <w:rFonts w:hint="eastAsia" w:ascii="方正小标宋简体" w:hAnsi="方正小标宋简体" w:eastAsia="方正小标宋简体" w:cs="方正小标宋简体"/>
          <w:b/>
          <w:bCs/>
          <w:i w:val="0"/>
          <w:iCs w:val="0"/>
          <w:caps w:val="0"/>
          <w:color w:val="333333"/>
          <w:spacing w:val="0"/>
          <w:sz w:val="44"/>
          <w:szCs w:val="44"/>
          <w:shd w:val="clear" w:fill="FFFFFF"/>
        </w:rPr>
        <w:t>年政府信息公开工作年度报告</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根据《中华人民共和国政府信息公开条例》（以下简称《条例》），特向社会公布20</w:t>
      </w:r>
      <w:r>
        <w:rPr>
          <w:rFonts w:hint="eastAsia" w:ascii="仿宋_GB2312" w:hAnsi="仿宋_GB2312" w:eastAsia="仿宋_GB2312" w:cs="仿宋_GB2312"/>
          <w:i w:val="0"/>
          <w:caps w:val="0"/>
          <w:color w:val="auto"/>
          <w:spacing w:val="0"/>
          <w:sz w:val="32"/>
          <w:szCs w:val="32"/>
          <w:lang w:val="en-US" w:eastAsia="zh-CN"/>
        </w:rPr>
        <w:t>09</w:t>
      </w:r>
      <w:r>
        <w:rPr>
          <w:rFonts w:hint="eastAsia" w:ascii="仿宋_GB2312" w:hAnsi="仿宋_GB2312" w:eastAsia="仿宋_GB2312" w:cs="仿宋_GB2312"/>
          <w:i w:val="0"/>
          <w:caps w:val="0"/>
          <w:color w:val="auto"/>
          <w:spacing w:val="0"/>
          <w:sz w:val="32"/>
          <w:szCs w:val="32"/>
        </w:rPr>
        <w:t>年度樟树市经楼镇信息公开年度报告。本报告由概述、主动公开政府信息情况、收到和处理政府信息公开申请情况、政府信息公开行政复议</w:t>
      </w:r>
      <w:r>
        <w:rPr>
          <w:rFonts w:hint="eastAsia" w:ascii="仿宋_GB2312" w:hAnsi="仿宋_GB2312" w:eastAsia="仿宋_GB2312" w:cs="仿宋_GB2312"/>
          <w:i w:val="0"/>
          <w:caps w:val="0"/>
          <w:color w:val="auto"/>
          <w:spacing w:val="0"/>
          <w:sz w:val="32"/>
          <w:szCs w:val="32"/>
          <w:lang w:eastAsia="zh-CN"/>
        </w:rPr>
        <w:t>和</w:t>
      </w:r>
      <w:r>
        <w:rPr>
          <w:rFonts w:hint="eastAsia" w:ascii="仿宋_GB2312" w:hAnsi="仿宋_GB2312" w:eastAsia="仿宋_GB2312" w:cs="仿宋_GB2312"/>
          <w:i w:val="0"/>
          <w:caps w:val="0"/>
          <w:color w:val="auto"/>
          <w:spacing w:val="0"/>
          <w:sz w:val="32"/>
          <w:szCs w:val="32"/>
        </w:rPr>
        <w:t>行政诉讼情况,以及存在的主要问题及改进</w:t>
      </w:r>
      <w:r>
        <w:rPr>
          <w:rFonts w:hint="eastAsia" w:ascii="仿宋_GB2312" w:hAnsi="仿宋_GB2312" w:eastAsia="仿宋_GB2312" w:cs="仿宋_GB2312"/>
          <w:i w:val="0"/>
          <w:caps w:val="0"/>
          <w:color w:val="auto"/>
          <w:spacing w:val="0"/>
          <w:sz w:val="32"/>
          <w:szCs w:val="32"/>
          <w:lang w:eastAsia="zh-CN"/>
        </w:rPr>
        <w:t>措施</w:t>
      </w:r>
      <w:r>
        <w:rPr>
          <w:rFonts w:hint="eastAsia" w:ascii="仿宋_GB2312" w:hAnsi="仿宋_GB2312" w:eastAsia="仿宋_GB2312" w:cs="仿宋_GB2312"/>
          <w:i w:val="0"/>
          <w:caps w:val="0"/>
          <w:color w:val="auto"/>
          <w:spacing w:val="0"/>
          <w:sz w:val="32"/>
          <w:szCs w:val="32"/>
        </w:rPr>
        <w:t>等</w:t>
      </w:r>
      <w:r>
        <w:rPr>
          <w:rFonts w:hint="eastAsia" w:ascii="仿宋_GB2312" w:hAnsi="仿宋_GB2312" w:eastAsia="仿宋_GB2312" w:cs="仿宋_GB2312"/>
          <w:i w:val="0"/>
          <w:caps w:val="0"/>
          <w:color w:val="auto"/>
          <w:spacing w:val="0"/>
          <w:sz w:val="32"/>
          <w:szCs w:val="32"/>
          <w:lang w:val="en-US" w:eastAsia="zh-CN"/>
        </w:rPr>
        <w:t>5</w:t>
      </w:r>
      <w:r>
        <w:rPr>
          <w:rFonts w:hint="eastAsia" w:ascii="仿宋_GB2312" w:hAnsi="仿宋_GB2312" w:eastAsia="仿宋_GB2312" w:cs="仿宋_GB2312"/>
          <w:i w:val="0"/>
          <w:caps w:val="0"/>
          <w:color w:val="auto"/>
          <w:spacing w:val="0"/>
          <w:sz w:val="32"/>
          <w:szCs w:val="32"/>
        </w:rPr>
        <w:t>部分组成。</w:t>
      </w:r>
      <w:r>
        <w:rPr>
          <w:rFonts w:hint="eastAsia" w:ascii="仿宋_GB2312" w:hAnsi="仿宋_GB2312" w:eastAsia="仿宋_GB2312" w:cs="仿宋_GB2312"/>
          <w:i w:val="0"/>
          <w:caps w:val="0"/>
          <w:color w:val="auto"/>
          <w:spacing w:val="0"/>
          <w:sz w:val="32"/>
          <w:szCs w:val="32"/>
          <w:lang w:eastAsia="zh-CN"/>
        </w:rPr>
        <w:t>本报告中所列数据的统计数据期限自</w:t>
      </w:r>
      <w:r>
        <w:rPr>
          <w:rFonts w:hint="eastAsia" w:ascii="仿宋_GB2312" w:hAnsi="仿宋_GB2312" w:eastAsia="仿宋_GB2312" w:cs="仿宋_GB2312"/>
          <w:i w:val="0"/>
          <w:caps w:val="0"/>
          <w:color w:val="auto"/>
          <w:spacing w:val="0"/>
          <w:sz w:val="32"/>
          <w:szCs w:val="32"/>
          <w:lang w:val="en-US" w:eastAsia="zh-CN"/>
        </w:rPr>
        <w:t>2009年1月1日起，至2009年12月31日止，</w:t>
      </w:r>
      <w:r>
        <w:rPr>
          <w:rFonts w:hint="eastAsia" w:ascii="仿宋_GB2312" w:hAnsi="仿宋_GB2312" w:eastAsia="仿宋_GB2312" w:cs="仿宋_GB2312"/>
          <w:i w:val="0"/>
          <w:caps w:val="0"/>
          <w:color w:val="auto"/>
          <w:spacing w:val="0"/>
          <w:sz w:val="32"/>
          <w:szCs w:val="32"/>
        </w:rPr>
        <w:t>如对本报告有任何疑问，请与</w:t>
      </w:r>
      <w:r>
        <w:rPr>
          <w:rFonts w:hint="eastAsia" w:ascii="仿宋_GB2312" w:hAnsi="仿宋_GB2312" w:eastAsia="仿宋_GB2312" w:cs="仿宋_GB2312"/>
          <w:i w:val="0"/>
          <w:caps w:val="0"/>
          <w:color w:val="auto"/>
          <w:spacing w:val="0"/>
          <w:sz w:val="32"/>
          <w:szCs w:val="32"/>
          <w:lang w:eastAsia="zh-CN"/>
        </w:rPr>
        <w:t>经楼镇</w:t>
      </w:r>
      <w:r>
        <w:rPr>
          <w:rFonts w:hint="eastAsia" w:ascii="仿宋_GB2312" w:hAnsi="仿宋_GB2312" w:eastAsia="仿宋_GB2312" w:cs="仿宋_GB2312"/>
          <w:i w:val="0"/>
          <w:caps w:val="0"/>
          <w:color w:val="auto"/>
          <w:spacing w:val="0"/>
          <w:sz w:val="32"/>
          <w:szCs w:val="32"/>
        </w:rPr>
        <w:t>办公室联系（电话：0795-7881128</w:t>
      </w:r>
      <w:r>
        <w:rPr>
          <w:rFonts w:hint="eastAsia" w:ascii="仿宋_GB2312" w:hAnsi="仿宋_GB2312" w:eastAsia="仿宋_GB2312" w:cs="仿宋_GB2312"/>
          <w:i w:val="0"/>
          <w:caps w:val="0"/>
          <w:color w:val="auto"/>
          <w:spacing w:val="0"/>
          <w:sz w:val="32"/>
          <w:szCs w:val="32"/>
          <w:lang w:eastAsia="zh-CN"/>
        </w:rPr>
        <w:t>，电子邮箱</w:t>
      </w:r>
      <w:r>
        <w:rPr>
          <w:rFonts w:hint="eastAsia" w:ascii="仿宋_GB2312" w:hAnsi="仿宋_GB2312" w:eastAsia="仿宋_GB2312" w:cs="仿宋_GB2312"/>
          <w:i w:val="0"/>
          <w:caps w:val="0"/>
          <w:color w:val="auto"/>
          <w:spacing w:val="0"/>
          <w:sz w:val="32"/>
          <w:szCs w:val="32"/>
          <w:lang w:val="en-US" w:eastAsia="zh-CN"/>
        </w:rPr>
        <w:t>zsjl7881128@163.com，地址：樟树市经楼镇政府前路11号经楼镇人民政府，邮编:331209</w:t>
      </w:r>
      <w:r>
        <w:rPr>
          <w:rFonts w:hint="eastAsia" w:ascii="仿宋_GB2312" w:hAnsi="仿宋_GB2312" w:eastAsia="仿宋_GB2312" w:cs="仿宋_GB2312"/>
          <w:i w:val="0"/>
          <w:caps w:val="0"/>
          <w:color w:val="auto"/>
          <w:spacing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rPr>
        <w:t>一、</w:t>
      </w:r>
      <w:r>
        <w:rPr>
          <w:rFonts w:hint="eastAsia" w:ascii="黑体" w:hAnsi="黑体" w:eastAsia="黑体" w:cs="黑体"/>
          <w:b w:val="0"/>
          <w:bCs w:val="0"/>
          <w:color w:val="auto"/>
          <w:kern w:val="0"/>
          <w:sz w:val="32"/>
          <w:szCs w:val="32"/>
          <w:lang w:eastAsia="zh-CN"/>
        </w:rPr>
        <w:t>总体情况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20</w:t>
      </w:r>
      <w:r>
        <w:rPr>
          <w:rFonts w:hint="eastAsia" w:ascii="仿宋_GB2312" w:hAnsi="仿宋_GB2312" w:eastAsia="仿宋_GB2312" w:cs="仿宋_GB2312"/>
          <w:i w:val="0"/>
          <w:caps w:val="0"/>
          <w:color w:val="auto"/>
          <w:spacing w:val="0"/>
          <w:sz w:val="32"/>
          <w:szCs w:val="32"/>
          <w:lang w:val="en-US" w:eastAsia="zh-CN"/>
        </w:rPr>
        <w:t>09</w:t>
      </w:r>
      <w:r>
        <w:rPr>
          <w:rFonts w:hint="eastAsia" w:ascii="仿宋_GB2312" w:hAnsi="仿宋_GB2312" w:eastAsia="仿宋_GB2312" w:cs="仿宋_GB2312"/>
          <w:i w:val="0"/>
          <w:caps w:val="0"/>
          <w:color w:val="auto"/>
          <w:spacing w:val="0"/>
          <w:sz w:val="32"/>
          <w:szCs w:val="32"/>
        </w:rPr>
        <w:t>年以来，</w:t>
      </w:r>
      <w:r>
        <w:rPr>
          <w:rFonts w:hint="eastAsia" w:ascii="仿宋_GB2312" w:hAnsi="仿宋_GB2312" w:eastAsia="仿宋_GB2312" w:cs="仿宋_GB2312"/>
          <w:i w:val="0"/>
          <w:caps w:val="0"/>
          <w:color w:val="auto"/>
          <w:spacing w:val="0"/>
          <w:sz w:val="32"/>
          <w:szCs w:val="32"/>
          <w:lang w:eastAsia="zh-CN"/>
        </w:rPr>
        <w:t>经楼</w:t>
      </w:r>
      <w:r>
        <w:rPr>
          <w:rFonts w:hint="eastAsia" w:ascii="仿宋_GB2312" w:hAnsi="仿宋_GB2312" w:eastAsia="仿宋_GB2312" w:cs="仿宋_GB2312"/>
          <w:i w:val="0"/>
          <w:caps w:val="0"/>
          <w:color w:val="auto"/>
          <w:spacing w:val="0"/>
          <w:sz w:val="32"/>
          <w:szCs w:val="32"/>
        </w:rPr>
        <w:t>镇按照</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委、</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政府对全面推进政府信息公开工作的具体实施要求，遵循合法、公正、公平、准确、及时、便民的原则，按照有关规定实事求是地公布群众关心的热点问题和各类政务信息。全面推进决策公开、执行公开、管理公开、服务公开和结果公开，以公开促服务、以公开促监督、以公开促效能，推动政府信息公开工作取得了明显成效，有力保障了人民群众对政府政务工作的知情权、参与权和监督权的重要途径。现将有关情况报告如下：</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（一）工作开展情况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1.加强领导，落实责任。加强组织领导，确保政府信息公开工作落到实处，</w:t>
      </w:r>
      <w:r>
        <w:rPr>
          <w:rFonts w:hint="eastAsia" w:ascii="仿宋_GB2312" w:hAnsi="仿宋_GB2312" w:eastAsia="仿宋_GB2312" w:cs="仿宋_GB2312"/>
          <w:i w:val="0"/>
          <w:caps w:val="0"/>
          <w:color w:val="auto"/>
          <w:spacing w:val="0"/>
          <w:sz w:val="32"/>
          <w:szCs w:val="32"/>
          <w:lang w:eastAsia="zh-CN"/>
        </w:rPr>
        <w:t>经楼</w:t>
      </w:r>
      <w:r>
        <w:rPr>
          <w:rFonts w:hint="eastAsia" w:ascii="仿宋_GB2312" w:hAnsi="仿宋_GB2312" w:eastAsia="仿宋_GB2312" w:cs="仿宋_GB2312"/>
          <w:i w:val="0"/>
          <w:caps w:val="0"/>
          <w:color w:val="auto"/>
          <w:spacing w:val="0"/>
          <w:sz w:val="32"/>
          <w:szCs w:val="32"/>
        </w:rPr>
        <w:t>镇明确了政府信息公开工作的分管领导和具体工作人员，确保政务公开工作落到实处。各村也相应成立了村务公开领导小组，为村务公开工作的顺利开展提供了坚强的组织保证。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2.建章立制，健全机制。根据</w:t>
      </w:r>
      <w:r>
        <w:rPr>
          <w:rFonts w:hint="eastAsia" w:ascii="仿宋_GB2312" w:hAnsi="仿宋_GB2312" w:eastAsia="仿宋_GB2312" w:cs="仿宋_GB2312"/>
          <w:i w:val="0"/>
          <w:caps w:val="0"/>
          <w:color w:val="auto"/>
          <w:spacing w:val="0"/>
          <w:sz w:val="32"/>
          <w:szCs w:val="32"/>
          <w:lang w:eastAsia="zh-CN"/>
        </w:rPr>
        <w:t>经楼</w:t>
      </w:r>
      <w:r>
        <w:rPr>
          <w:rFonts w:hint="eastAsia" w:ascii="仿宋_GB2312" w:hAnsi="仿宋_GB2312" w:eastAsia="仿宋_GB2312" w:cs="仿宋_GB2312"/>
          <w:i w:val="0"/>
          <w:caps w:val="0"/>
          <w:color w:val="auto"/>
          <w:spacing w:val="0"/>
          <w:sz w:val="32"/>
          <w:szCs w:val="32"/>
        </w:rPr>
        <w:t>镇实际，调整和充实了政务公开监督领导小组成员，做到及时、如实公布政务公开内容。明确分工、细化步骤、优化流程，并对信息公开工作责任追究制度在实践中进一步明确，有力保障了政府信息工作的有序开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二</w:t>
      </w:r>
      <w:r>
        <w:rPr>
          <w:rFonts w:hint="eastAsia" w:ascii="仿宋_GB2312" w:hAnsi="仿宋_GB2312" w:eastAsia="仿宋_GB2312" w:cs="仿宋_GB2312"/>
          <w:i w:val="0"/>
          <w:caps w:val="0"/>
          <w:color w:val="auto"/>
          <w:spacing w:val="0"/>
          <w:sz w:val="32"/>
          <w:szCs w:val="32"/>
        </w:rPr>
        <w:t>）稳步推进，不断深化信息公开内容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按照</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委、</w:t>
      </w:r>
      <w:r>
        <w:rPr>
          <w:rFonts w:hint="eastAsia" w:ascii="仿宋_GB2312" w:hAnsi="仿宋_GB2312" w:eastAsia="仿宋_GB2312" w:cs="仿宋_GB2312"/>
          <w:i w:val="0"/>
          <w:caps w:val="0"/>
          <w:color w:val="auto"/>
          <w:spacing w:val="0"/>
          <w:sz w:val="32"/>
          <w:szCs w:val="32"/>
          <w:lang w:eastAsia="zh-CN"/>
        </w:rPr>
        <w:t>市</w:t>
      </w:r>
      <w:r>
        <w:rPr>
          <w:rFonts w:hint="eastAsia" w:ascii="仿宋_GB2312" w:hAnsi="仿宋_GB2312" w:eastAsia="仿宋_GB2312" w:cs="仿宋_GB2312"/>
          <w:i w:val="0"/>
          <w:caps w:val="0"/>
          <w:color w:val="auto"/>
          <w:spacing w:val="0"/>
          <w:sz w:val="32"/>
          <w:szCs w:val="32"/>
        </w:rPr>
        <w:t>政府的要求，依照全面、准确、公开、便民等原则，并结合</w:t>
      </w:r>
      <w:r>
        <w:rPr>
          <w:rFonts w:hint="eastAsia" w:ascii="仿宋_GB2312" w:hAnsi="仿宋_GB2312" w:eastAsia="仿宋_GB2312" w:cs="仿宋_GB2312"/>
          <w:i w:val="0"/>
          <w:caps w:val="0"/>
          <w:color w:val="auto"/>
          <w:spacing w:val="0"/>
          <w:sz w:val="32"/>
          <w:szCs w:val="32"/>
          <w:lang w:eastAsia="zh-CN"/>
        </w:rPr>
        <w:t>经楼</w:t>
      </w:r>
      <w:r>
        <w:rPr>
          <w:rFonts w:hint="eastAsia" w:ascii="仿宋_GB2312" w:hAnsi="仿宋_GB2312" w:eastAsia="仿宋_GB2312" w:cs="仿宋_GB2312"/>
          <w:i w:val="0"/>
          <w:caps w:val="0"/>
          <w:color w:val="auto"/>
          <w:spacing w:val="0"/>
          <w:sz w:val="32"/>
          <w:szCs w:val="32"/>
        </w:rPr>
        <w:t>镇实际工作情况，重点公开了以下内容：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1</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镇村党政领导分工和各职能部门的主要工作职责、办事程序、收费标准、服务承诺及责任人的情况。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2</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年度工作计划、政府工作报告。</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3</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机关干部的选拔、聘用、管理和村两委会班子成员的任免情况。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4</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群众关心的其他重要政务的活动情况。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bCs/>
          <w:color w:val="auto"/>
          <w:kern w:val="0"/>
          <w:sz w:val="32"/>
          <w:szCs w:val="32"/>
        </w:rPr>
      </w:pPr>
      <w:r>
        <w:rPr>
          <w:rFonts w:hint="eastAsia" w:ascii="黑体" w:hAnsi="黑体" w:eastAsia="黑体" w:cs="黑体"/>
          <w:b w:val="0"/>
          <w:bCs w:val="0"/>
          <w:color w:val="auto"/>
          <w:kern w:val="0"/>
          <w:sz w:val="32"/>
          <w:szCs w:val="32"/>
        </w:rPr>
        <w:t>二、主动公开政府信息情况</w:t>
      </w:r>
    </w:p>
    <w:tbl>
      <w:tblPr>
        <w:tblStyle w:val="3"/>
        <w:tblW w:w="8600" w:type="dxa"/>
        <w:jc w:val="center"/>
        <w:tblLayout w:type="autofit"/>
        <w:tblCellMar>
          <w:top w:w="0" w:type="dxa"/>
          <w:left w:w="0" w:type="dxa"/>
          <w:bottom w:w="0" w:type="dxa"/>
          <w:right w:w="0" w:type="dxa"/>
        </w:tblCellMar>
      </w:tblPr>
      <w:tblGrid>
        <w:gridCol w:w="3288"/>
        <w:gridCol w:w="1980"/>
        <w:gridCol w:w="6"/>
        <w:gridCol w:w="1336"/>
        <w:gridCol w:w="1990"/>
      </w:tblGrid>
      <w:tr>
        <w:tblPrEx>
          <w:tblCellMar>
            <w:top w:w="0" w:type="dxa"/>
            <w:left w:w="0" w:type="dxa"/>
            <w:bottom w:w="0" w:type="dxa"/>
            <w:right w:w="0" w:type="dxa"/>
          </w:tblCellMar>
        </w:tblPrEx>
        <w:trPr>
          <w:trHeight w:val="579" w:hRule="atLeast"/>
          <w:jc w:val="center"/>
        </w:trPr>
        <w:tc>
          <w:tcPr>
            <w:tcW w:w="860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第二十条第（一）项</w:t>
            </w:r>
          </w:p>
        </w:tc>
      </w:tr>
      <w:tr>
        <w:tblPrEx>
          <w:tblCellMar>
            <w:top w:w="0" w:type="dxa"/>
            <w:left w:w="0" w:type="dxa"/>
            <w:bottom w:w="0" w:type="dxa"/>
            <w:right w:w="0" w:type="dxa"/>
          </w:tblCellMar>
        </w:tblPrEx>
        <w:trPr>
          <w:trHeight w:val="999"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信息内容</w:t>
            </w:r>
          </w:p>
        </w:tc>
        <w:tc>
          <w:tcPr>
            <w:tcW w:w="1980"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本年新</w:t>
            </w:r>
            <w:r>
              <w:rPr>
                <w:rFonts w:hint="eastAsia" w:ascii="宋体" w:hAnsi="宋体" w:cs="宋体"/>
                <w:color w:val="auto"/>
                <w:kern w:val="0"/>
                <w:sz w:val="20"/>
                <w:szCs w:val="20"/>
              </w:rPr>
              <w:br w:type="textWrapping"/>
            </w:r>
            <w:r>
              <w:rPr>
                <w:rFonts w:ascii="宋体" w:hAnsi="宋体" w:cs="宋体"/>
                <w:color w:val="auto"/>
                <w:kern w:val="0"/>
                <w:sz w:val="20"/>
                <w:szCs w:val="20"/>
              </w:rPr>
              <w:t>制作数量</w:t>
            </w:r>
          </w:p>
        </w:tc>
        <w:tc>
          <w:tcPr>
            <w:tcW w:w="1342"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本年新</w:t>
            </w:r>
            <w:r>
              <w:rPr>
                <w:rFonts w:hint="eastAsia" w:ascii="宋体" w:hAnsi="宋体" w:cs="宋体"/>
                <w:color w:val="auto"/>
                <w:kern w:val="0"/>
                <w:sz w:val="20"/>
                <w:szCs w:val="20"/>
              </w:rPr>
              <w:br w:type="textWrapping"/>
            </w:r>
            <w:r>
              <w:rPr>
                <w:rFonts w:ascii="宋体" w:hAnsi="宋体" w:cs="宋体"/>
                <w:color w:val="auto"/>
                <w:kern w:val="0"/>
                <w:sz w:val="20"/>
                <w:szCs w:val="20"/>
              </w:rPr>
              <w:t>公开数量</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对外公开总数量</w:t>
            </w:r>
          </w:p>
        </w:tc>
      </w:tr>
      <w:tr>
        <w:tblPrEx>
          <w:tblCellMar>
            <w:top w:w="0" w:type="dxa"/>
            <w:left w:w="0" w:type="dxa"/>
            <w:bottom w:w="0" w:type="dxa"/>
            <w:right w:w="0" w:type="dxa"/>
          </w:tblCellMar>
        </w:tblPrEx>
        <w:trPr>
          <w:trHeight w:val="609"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规章</w:t>
            </w:r>
          </w:p>
        </w:tc>
        <w:tc>
          <w:tcPr>
            <w:tcW w:w="198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342"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r>
      <w:tr>
        <w:tblPrEx>
          <w:tblCellMar>
            <w:top w:w="0" w:type="dxa"/>
            <w:left w:w="0" w:type="dxa"/>
            <w:bottom w:w="0" w:type="dxa"/>
            <w:right w:w="0" w:type="dxa"/>
          </w:tblCellMar>
        </w:tblPrEx>
        <w:trPr>
          <w:trHeight w:val="553"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规范性文件</w:t>
            </w:r>
          </w:p>
        </w:tc>
        <w:tc>
          <w:tcPr>
            <w:tcW w:w="198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342"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r>
      <w:tr>
        <w:tblPrEx>
          <w:tblCellMar>
            <w:top w:w="0" w:type="dxa"/>
            <w:left w:w="0" w:type="dxa"/>
            <w:bottom w:w="0" w:type="dxa"/>
            <w:right w:w="0" w:type="dxa"/>
          </w:tblCellMar>
        </w:tblPrEx>
        <w:trPr>
          <w:trHeight w:val="563" w:hRule="atLeast"/>
          <w:jc w:val="center"/>
        </w:trPr>
        <w:tc>
          <w:tcPr>
            <w:tcW w:w="860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第二十条第（五）项</w:t>
            </w:r>
          </w:p>
        </w:tc>
      </w:tr>
      <w:tr>
        <w:tblPrEx>
          <w:tblCellMar>
            <w:top w:w="0" w:type="dxa"/>
            <w:left w:w="0" w:type="dxa"/>
            <w:bottom w:w="0" w:type="dxa"/>
            <w:right w:w="0" w:type="dxa"/>
          </w:tblCellMar>
        </w:tblPrEx>
        <w:trPr>
          <w:trHeight w:val="713"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信息内容</w:t>
            </w:r>
          </w:p>
        </w:tc>
        <w:tc>
          <w:tcPr>
            <w:tcW w:w="1980"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上一年项目数量</w:t>
            </w:r>
          </w:p>
        </w:tc>
        <w:tc>
          <w:tcPr>
            <w:tcW w:w="1342"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本年增/减</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处理决定数量</w:t>
            </w:r>
          </w:p>
        </w:tc>
      </w:tr>
      <w:tr>
        <w:tblPrEx>
          <w:tblCellMar>
            <w:top w:w="0" w:type="dxa"/>
            <w:left w:w="0" w:type="dxa"/>
            <w:bottom w:w="0" w:type="dxa"/>
            <w:right w:w="0" w:type="dxa"/>
          </w:tblCellMar>
        </w:tblPrEx>
        <w:trPr>
          <w:trHeight w:val="615"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行政许可</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33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r>
      <w:tr>
        <w:tblPrEx>
          <w:tblCellMar>
            <w:top w:w="0" w:type="dxa"/>
            <w:left w:w="0" w:type="dxa"/>
            <w:bottom w:w="0" w:type="dxa"/>
            <w:right w:w="0" w:type="dxa"/>
          </w:tblCellMar>
        </w:tblPrEx>
        <w:trPr>
          <w:trHeight w:val="639"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其他对外管理服务事项</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33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r>
      <w:tr>
        <w:tblPrEx>
          <w:tblCellMar>
            <w:top w:w="0" w:type="dxa"/>
            <w:left w:w="0" w:type="dxa"/>
            <w:bottom w:w="0" w:type="dxa"/>
            <w:right w:w="0" w:type="dxa"/>
          </w:tblCellMar>
        </w:tblPrEx>
        <w:trPr>
          <w:trHeight w:val="483" w:hRule="atLeast"/>
          <w:jc w:val="center"/>
        </w:trPr>
        <w:tc>
          <w:tcPr>
            <w:tcW w:w="860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第二十条第（六）项</w:t>
            </w:r>
          </w:p>
        </w:tc>
      </w:tr>
      <w:tr>
        <w:tblPrEx>
          <w:tblCellMar>
            <w:top w:w="0" w:type="dxa"/>
            <w:left w:w="0" w:type="dxa"/>
            <w:bottom w:w="0" w:type="dxa"/>
            <w:right w:w="0" w:type="dxa"/>
          </w:tblCellMar>
        </w:tblPrEx>
        <w:trPr>
          <w:trHeight w:val="730"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信息内容</w:t>
            </w:r>
          </w:p>
        </w:tc>
        <w:tc>
          <w:tcPr>
            <w:tcW w:w="1980"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上一年项目数量</w:t>
            </w:r>
          </w:p>
        </w:tc>
        <w:tc>
          <w:tcPr>
            <w:tcW w:w="1342"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本年增/减</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处理决定数量</w:t>
            </w:r>
          </w:p>
        </w:tc>
      </w:tr>
      <w:tr>
        <w:tblPrEx>
          <w:tblCellMar>
            <w:top w:w="0" w:type="dxa"/>
            <w:left w:w="0" w:type="dxa"/>
            <w:bottom w:w="0" w:type="dxa"/>
            <w:right w:w="0" w:type="dxa"/>
          </w:tblCellMar>
        </w:tblPrEx>
        <w:trPr>
          <w:trHeight w:val="509"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行政处罚</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33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r>
      <w:tr>
        <w:tblPrEx>
          <w:tblCellMar>
            <w:top w:w="0" w:type="dxa"/>
            <w:left w:w="0" w:type="dxa"/>
            <w:bottom w:w="0" w:type="dxa"/>
            <w:right w:w="0" w:type="dxa"/>
          </w:tblCellMar>
        </w:tblPrEx>
        <w:trPr>
          <w:trHeight w:val="486"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行政强制</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33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199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r>
      <w:tr>
        <w:tblPrEx>
          <w:tblCellMar>
            <w:top w:w="0" w:type="dxa"/>
            <w:left w:w="0" w:type="dxa"/>
            <w:bottom w:w="0" w:type="dxa"/>
            <w:right w:w="0" w:type="dxa"/>
          </w:tblCellMar>
        </w:tblPrEx>
        <w:trPr>
          <w:trHeight w:val="556" w:hRule="atLeast"/>
          <w:jc w:val="center"/>
        </w:trPr>
        <w:tc>
          <w:tcPr>
            <w:tcW w:w="860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第二十条第（八）项</w:t>
            </w:r>
          </w:p>
        </w:tc>
      </w:tr>
      <w:tr>
        <w:tblPrEx>
          <w:tblCellMar>
            <w:top w:w="0" w:type="dxa"/>
            <w:left w:w="0" w:type="dxa"/>
            <w:bottom w:w="0" w:type="dxa"/>
            <w:right w:w="0" w:type="dxa"/>
          </w:tblCellMar>
        </w:tblPrEx>
        <w:trPr>
          <w:trHeight w:val="381"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信息内容</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上一年项目数量</w:t>
            </w:r>
          </w:p>
        </w:tc>
        <w:tc>
          <w:tcPr>
            <w:tcW w:w="332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本年增/减</w:t>
            </w:r>
          </w:p>
        </w:tc>
      </w:tr>
      <w:tr>
        <w:tblPrEx>
          <w:tblCellMar>
            <w:top w:w="0" w:type="dxa"/>
            <w:left w:w="0" w:type="dxa"/>
            <w:bottom w:w="0" w:type="dxa"/>
            <w:right w:w="0" w:type="dxa"/>
          </w:tblCellMar>
        </w:tblPrEx>
        <w:trPr>
          <w:trHeight w:val="640"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行政事业性收费</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332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lang w:val="en-US" w:eastAsia="zh-CN"/>
              </w:rPr>
              <w:t>0</w:t>
            </w:r>
            <w:r>
              <w:rPr>
                <w:rFonts w:hint="eastAsia" w:ascii="宋体" w:hAnsi="宋体" w:cs="宋体"/>
                <w:color w:val="auto"/>
                <w:kern w:val="0"/>
                <w:sz w:val="20"/>
                <w:szCs w:val="20"/>
              </w:rPr>
              <w:t> </w:t>
            </w:r>
          </w:p>
        </w:tc>
      </w:tr>
      <w:tr>
        <w:tblPrEx>
          <w:tblCellMar>
            <w:top w:w="0" w:type="dxa"/>
            <w:left w:w="0" w:type="dxa"/>
            <w:bottom w:w="0" w:type="dxa"/>
            <w:right w:w="0" w:type="dxa"/>
          </w:tblCellMar>
        </w:tblPrEx>
        <w:trPr>
          <w:trHeight w:val="559" w:hRule="atLeast"/>
          <w:jc w:val="center"/>
        </w:trPr>
        <w:tc>
          <w:tcPr>
            <w:tcW w:w="860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第二十条第（九）项</w:t>
            </w:r>
          </w:p>
        </w:tc>
      </w:tr>
      <w:tr>
        <w:tblPrEx>
          <w:tblCellMar>
            <w:top w:w="0" w:type="dxa"/>
            <w:left w:w="0" w:type="dxa"/>
            <w:bottom w:w="0" w:type="dxa"/>
            <w:right w:w="0" w:type="dxa"/>
          </w:tblCellMar>
        </w:tblPrEx>
        <w:trPr>
          <w:trHeight w:val="676"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信息内容</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采购项目数量</w:t>
            </w:r>
          </w:p>
        </w:tc>
        <w:tc>
          <w:tcPr>
            <w:tcW w:w="332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采购总金额</w:t>
            </w:r>
          </w:p>
        </w:tc>
      </w:tr>
      <w:tr>
        <w:tblPrEx>
          <w:tblCellMar>
            <w:top w:w="0" w:type="dxa"/>
            <w:left w:w="0" w:type="dxa"/>
            <w:bottom w:w="0" w:type="dxa"/>
            <w:right w:w="0" w:type="dxa"/>
          </w:tblCellMar>
        </w:tblPrEx>
        <w:trPr>
          <w:trHeight w:val="626" w:hRule="atLeast"/>
          <w:jc w:val="center"/>
        </w:trPr>
        <w:tc>
          <w:tcPr>
            <w:tcW w:w="3288"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政府集中采购</w:t>
            </w:r>
          </w:p>
        </w:tc>
        <w:tc>
          <w:tcPr>
            <w:tcW w:w="1986"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2</w:t>
            </w:r>
          </w:p>
        </w:tc>
        <w:tc>
          <w:tcPr>
            <w:tcW w:w="332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1.41</w:t>
            </w:r>
          </w:p>
        </w:tc>
      </w:tr>
    </w:tbl>
    <w:p>
      <w:pPr>
        <w:keepNext w:val="0"/>
        <w:keepLines w:val="0"/>
        <w:pageBreakBefore w:val="0"/>
        <w:widowControl/>
        <w:shd w:val="clear" w:color="auto" w:fill="FFFFFF"/>
        <w:kinsoku/>
        <w:wordWrap/>
        <w:overflowPunct/>
        <w:topLinePunct w:val="0"/>
        <w:autoSpaceDE/>
        <w:autoSpaceDN/>
        <w:bidi w:val="0"/>
        <w:adjustRightInd/>
        <w:snapToGrid/>
        <w:spacing w:line="560" w:lineRule="exact"/>
        <w:textAlignment w:val="auto"/>
        <w:rPr>
          <w:rFonts w:hint="eastAsia" w:ascii="宋体" w:hAnsi="宋体" w:cs="宋体"/>
          <w:color w:val="auto"/>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textAlignment w:val="auto"/>
        <w:rPr>
          <w:rFonts w:ascii="宋体" w:hAnsi="宋体" w:cs="宋体"/>
          <w:color w:val="auto"/>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textAlignment w:val="auto"/>
        <w:rPr>
          <w:rFonts w:hint="eastAsia" w:ascii="黑体" w:hAnsi="黑体" w:eastAsia="黑体" w:cs="黑体"/>
          <w:b/>
          <w:bCs/>
          <w:color w:val="auto"/>
          <w:kern w:val="0"/>
          <w:sz w:val="32"/>
          <w:szCs w:val="32"/>
        </w:rPr>
      </w:pPr>
      <w:r>
        <w:rPr>
          <w:rFonts w:hint="eastAsia" w:ascii="黑体" w:hAnsi="黑体" w:eastAsia="黑体" w:cs="黑体"/>
          <w:b w:val="0"/>
          <w:bCs w:val="0"/>
          <w:color w:val="auto"/>
          <w:kern w:val="0"/>
          <w:sz w:val="32"/>
          <w:szCs w:val="32"/>
        </w:rPr>
        <w:t>三、收到和处理政府信息公开申请情况</w:t>
      </w:r>
    </w:p>
    <w:tbl>
      <w:tblPr>
        <w:tblStyle w:val="3"/>
        <w:tblW w:w="9119" w:type="dxa"/>
        <w:jc w:val="center"/>
        <w:tblLayout w:type="autofit"/>
        <w:tblCellMar>
          <w:top w:w="0" w:type="dxa"/>
          <w:left w:w="0" w:type="dxa"/>
          <w:bottom w:w="0" w:type="dxa"/>
          <w:right w:w="0" w:type="dxa"/>
        </w:tblCellMar>
      </w:tblPr>
      <w:tblGrid>
        <w:gridCol w:w="619"/>
        <w:gridCol w:w="858"/>
        <w:gridCol w:w="2098"/>
        <w:gridCol w:w="817"/>
        <w:gridCol w:w="759"/>
        <w:gridCol w:w="759"/>
        <w:gridCol w:w="817"/>
        <w:gridCol w:w="978"/>
        <w:gridCol w:w="715"/>
        <w:gridCol w:w="699"/>
      </w:tblGrid>
      <w:tr>
        <w:tblPrEx>
          <w:tblCellMar>
            <w:top w:w="0" w:type="dxa"/>
            <w:left w:w="0" w:type="dxa"/>
            <w:bottom w:w="0" w:type="dxa"/>
            <w:right w:w="0" w:type="dxa"/>
          </w:tblCellMar>
        </w:tblPrEx>
        <w:trPr>
          <w:trHeight w:val="90" w:hRule="atLeast"/>
          <w:jc w:val="center"/>
        </w:trPr>
        <w:tc>
          <w:tcPr>
            <w:tcW w:w="3575"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（本列数据的勾稽关系为：第一项加第二项之和，等于第三项加第四项之和）</w:t>
            </w:r>
          </w:p>
        </w:tc>
        <w:tc>
          <w:tcPr>
            <w:tcW w:w="5544"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申请人情况</w:t>
            </w:r>
          </w:p>
        </w:tc>
      </w:tr>
      <w:tr>
        <w:tblPrEx>
          <w:tblCellMar>
            <w:top w:w="0" w:type="dxa"/>
            <w:left w:w="0" w:type="dxa"/>
            <w:bottom w:w="0" w:type="dxa"/>
            <w:right w:w="0" w:type="dxa"/>
          </w:tblCellMar>
        </w:tblPrEx>
        <w:trPr>
          <w:trHeight w:val="90" w:hRule="atLeast"/>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817"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自然人</w:t>
            </w:r>
          </w:p>
        </w:tc>
        <w:tc>
          <w:tcPr>
            <w:tcW w:w="4028"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法人或其他组织</w:t>
            </w:r>
          </w:p>
        </w:tc>
        <w:tc>
          <w:tcPr>
            <w:tcW w:w="699"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总计</w:t>
            </w:r>
          </w:p>
        </w:tc>
      </w:tr>
      <w:tr>
        <w:tblPrEx>
          <w:tblCellMar>
            <w:top w:w="0" w:type="dxa"/>
            <w:left w:w="0" w:type="dxa"/>
            <w:bottom w:w="0" w:type="dxa"/>
            <w:right w:w="0" w:type="dxa"/>
          </w:tblCellMar>
        </w:tblPrEx>
        <w:trPr>
          <w:trHeight w:val="90" w:hRule="atLeast"/>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商业企业</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科研机构</w:t>
            </w:r>
          </w:p>
        </w:tc>
        <w:tc>
          <w:tcPr>
            <w:tcW w:w="81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社会公益组织</w:t>
            </w:r>
          </w:p>
        </w:tc>
        <w:tc>
          <w:tcPr>
            <w:tcW w:w="9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法律服务机构</w:t>
            </w:r>
          </w:p>
        </w:tc>
        <w:tc>
          <w:tcPr>
            <w:tcW w:w="7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其他</w:t>
            </w:r>
          </w:p>
        </w:tc>
        <w:tc>
          <w:tcPr>
            <w:tcW w:w="0" w:type="auto"/>
            <w:vMerge w:val="continue"/>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r>
      <w:tr>
        <w:tblPrEx>
          <w:tblCellMar>
            <w:top w:w="0" w:type="dxa"/>
            <w:left w:w="0" w:type="dxa"/>
            <w:bottom w:w="0" w:type="dxa"/>
            <w:right w:w="0" w:type="dxa"/>
          </w:tblCellMar>
        </w:tblPrEx>
        <w:trPr>
          <w:trHeight w:val="90" w:hRule="atLeast"/>
          <w:jc w:val="center"/>
        </w:trPr>
        <w:tc>
          <w:tcPr>
            <w:tcW w:w="3575"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一、本年新收政府信息公开申请数量</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3575"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二、上年结转政府信息公开申请数量</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619"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三、本年度办理结果</w:t>
            </w:r>
          </w:p>
        </w:tc>
        <w:tc>
          <w:tcPr>
            <w:tcW w:w="295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（一）予以公开</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95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（二）部分公开（区分处理的，只计这一情形，不计其他情形）</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858"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（三）不予公开</w:t>
            </w: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1.属于国家秘密</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2.其他法律行政法规禁止公开</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3.危及“三安全一稳定”</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4.保护第三方合法权益</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5.属于三类内部事务信息</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6.属于四类过程性信息</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7.属于行政执法案卷</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8.属于行政查询事项</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858"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（四）无法提供</w:t>
            </w: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1.本机关不掌握相关政府信息</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2.没有现成信息需要另行制作</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3.补正后申请内容仍不明确</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858"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（五）不予处理</w:t>
            </w: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1.信访举报投诉类申请</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2.重复申请</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3.要求提供公开出版物</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4.无正当理由大量反复申请</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09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5.要求行政机关确认或重新出具已获取信息</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95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（六）其他处理</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2956"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楷体" w:hAnsi="楷体" w:eastAsia="楷体" w:cs="宋体"/>
                <w:color w:val="auto"/>
                <w:kern w:val="0"/>
                <w:sz w:val="20"/>
                <w:szCs w:val="20"/>
              </w:rPr>
              <w:t>（七）总计</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s="Calibri"/>
                <w:color w:val="auto"/>
                <w:kern w:val="0"/>
                <w:sz w:val="20"/>
                <w:szCs w:val="20"/>
                <w:lang w:val="en-US" w:eastAsia="zh-CN"/>
              </w:rPr>
            </w:pPr>
            <w:r>
              <w:rPr>
                <w:rFonts w:hint="eastAsia" w:cs="Calibri"/>
                <w:color w:val="auto"/>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3575"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r>
              <w:rPr>
                <w:rFonts w:hint="eastAsia" w:ascii="宋体" w:hAnsi="宋体" w:cs="宋体"/>
                <w:color w:val="auto"/>
                <w:kern w:val="0"/>
                <w:sz w:val="20"/>
                <w:szCs w:val="20"/>
              </w:rPr>
              <w:t>四、结转下年度继续办理</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75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81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97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71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69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四、政府信息公开行政复议、行政诉讼情况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textAlignment w:val="auto"/>
        <w:rPr>
          <w:rFonts w:ascii="宋体" w:hAnsi="宋体" w:cs="宋体"/>
          <w:color w:val="auto"/>
          <w:kern w:val="0"/>
          <w:sz w:val="24"/>
          <w:szCs w:val="24"/>
        </w:rPr>
      </w:pPr>
    </w:p>
    <w:tbl>
      <w:tblPr>
        <w:tblStyle w:val="3"/>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结果维持</w:t>
            </w:r>
          </w:p>
        </w:tc>
        <w:tc>
          <w:tcPr>
            <w:tcW w:w="60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auto"/>
                <w:kern w:val="0"/>
                <w:sz w:val="24"/>
                <w:szCs w:val="24"/>
              </w:rPr>
            </w:pP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结果维持</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其他结果</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尚未审结</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总计</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其他结果</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cs="Calibri"/>
                <w:color w:val="auto"/>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cs="Calibri"/>
                <w:color w:val="auto"/>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cs="Calibri"/>
                <w:color w:val="auto"/>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cs="Calibri"/>
                <w:color w:val="auto"/>
                <w:kern w:val="0"/>
                <w:sz w:val="20"/>
                <w:szCs w:val="20"/>
                <w:lang w:val="en-US" w:eastAsia="zh-CN"/>
              </w:rPr>
              <w:t>0</w:t>
            </w:r>
          </w:p>
        </w:tc>
        <w:tc>
          <w:tcPr>
            <w:tcW w:w="65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cs="Calibri"/>
                <w:color w:val="auto"/>
                <w:kern w:val="0"/>
                <w:sz w:val="20"/>
                <w:szCs w:val="20"/>
                <w:lang w:val="en-US" w:eastAsia="zh-CN"/>
              </w:rPr>
              <w:t>0</w:t>
            </w: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0"/>
                <w:szCs w:val="20"/>
                <w:lang w:val="en-US" w:eastAsia="zh-CN"/>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r>
              <w:rPr>
                <w:rFonts w:hint="eastAsia" w:ascii="宋体" w:hAnsi="宋体" w:cs="宋体"/>
                <w:color w:val="auto"/>
                <w:kern w:val="0"/>
                <w:sz w:val="20"/>
                <w:szCs w:val="20"/>
                <w:lang w:val="en-US" w:eastAsia="zh-CN"/>
              </w:rPr>
              <w:t>0</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ascii="宋体" w:hAnsi="宋体" w:cs="宋体"/>
          <w:color w:val="auto"/>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lang w:eastAsia="zh-CN"/>
        </w:rPr>
      </w:pPr>
      <w:r>
        <w:rPr>
          <w:rFonts w:hint="eastAsia" w:ascii="黑体" w:hAnsi="黑体" w:eastAsia="黑体" w:cs="黑体"/>
          <w:b w:val="0"/>
          <w:bCs w:val="0"/>
          <w:color w:val="auto"/>
          <w:kern w:val="0"/>
          <w:sz w:val="32"/>
          <w:szCs w:val="32"/>
        </w:rPr>
        <w:t>五、存在的主要问题及改进</w:t>
      </w:r>
      <w:r>
        <w:rPr>
          <w:rFonts w:hint="eastAsia" w:ascii="黑体" w:hAnsi="黑体" w:eastAsia="黑体" w:cs="黑体"/>
          <w:b w:val="0"/>
          <w:bCs w:val="0"/>
          <w:color w:val="auto"/>
          <w:kern w:val="0"/>
          <w:sz w:val="32"/>
          <w:szCs w:val="32"/>
          <w:lang w:eastAsia="zh-CN"/>
        </w:rPr>
        <w:t>措施</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（一）存在问题</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在20</w:t>
      </w:r>
      <w:r>
        <w:rPr>
          <w:rFonts w:hint="eastAsia" w:ascii="仿宋_GB2312" w:hAnsi="仿宋_GB2312" w:eastAsia="仿宋_GB2312" w:cs="仿宋_GB2312"/>
          <w:i w:val="0"/>
          <w:caps w:val="0"/>
          <w:color w:val="auto"/>
          <w:spacing w:val="0"/>
          <w:sz w:val="32"/>
          <w:szCs w:val="32"/>
          <w:lang w:val="en-US" w:eastAsia="zh-CN"/>
        </w:rPr>
        <w:t>09</w:t>
      </w:r>
      <w:r>
        <w:rPr>
          <w:rFonts w:hint="eastAsia" w:ascii="仿宋_GB2312" w:hAnsi="仿宋_GB2312" w:eastAsia="仿宋_GB2312" w:cs="仿宋_GB2312"/>
          <w:i w:val="0"/>
          <w:caps w:val="0"/>
          <w:color w:val="auto"/>
          <w:spacing w:val="0"/>
          <w:sz w:val="32"/>
          <w:szCs w:val="32"/>
        </w:rPr>
        <w:t>年的政府信息公开工作中，虽然我镇政府信息公开工作有所进步，但与公众的需求还存在差距，公开内容的全面性以及公开形式的多样性等还需要在今后的工作中进一步加以改进。主要表现在：一是政务公开长效机制有待进一步提高。有的公开内容不规范、不具体，重点不突出。二是业务学习有待加强。政府信息公开涉及相关的专业知识，针对政府信息的界定、政府信息公开与不公开的界限、公开工作中的保密问题以及具体问题的准确把握和理解等方面，需要进一步加强学习相关知识，正确领会和把握。三是思想认识有待进一步提高。</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（二）改进措施</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1</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进一步深入学习《中华人民共和国政府信息公开条例》</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对照条例，不断调整和完善街道政务公开事项、指南，查漏补缺，编制更加科学规范的公开目录和指南。进一步健全和完善政务公开制度，规范公开内容，提高公开质量。一是理顺工作机制，进一步调整政务公开领导小组，做好牵头和协调。二是对涉及人民群众关心的重大问题，重大决策应及时公开。</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2</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进一步加强宣传培训工作。通过开展多种形式的宣传活动，提高公众对政府信息公开的知晓率和参与度。加强政府信息公开业务学习和培训，提高政府信息公开整体工作的管理、服务水平和能力。</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3</w:t>
      </w:r>
      <w:r>
        <w:rPr>
          <w:rFonts w:hint="eastAsia" w:ascii="仿宋_GB2312" w:hAnsi="仿宋_GB2312" w:eastAsia="仿宋_GB2312" w:cs="仿宋_GB2312"/>
          <w:i w:val="0"/>
          <w:caps w:val="0"/>
          <w:color w:val="auto"/>
          <w:spacing w:val="0"/>
          <w:sz w:val="32"/>
          <w:szCs w:val="32"/>
          <w:lang w:val="en-US" w:eastAsia="zh-CN"/>
        </w:rPr>
        <w:t>.</w:t>
      </w:r>
      <w:r>
        <w:rPr>
          <w:rFonts w:hint="eastAsia" w:ascii="仿宋_GB2312" w:hAnsi="仿宋_GB2312" w:eastAsia="仿宋_GB2312" w:cs="仿宋_GB2312"/>
          <w:i w:val="0"/>
          <w:caps w:val="0"/>
          <w:color w:val="auto"/>
          <w:spacing w:val="0"/>
          <w:sz w:val="32"/>
          <w:szCs w:val="32"/>
        </w:rPr>
        <w:t>进一步加强政府信息公开工作力度和思想认识水平，防止工作松懈，确保工作有序有力有节地推进下去。继续高度重视政府信息公开工作，把政府信息公开工作抓在手中，扛在肩头，真正落实到位，确保工作人员稳定和有序交接，制度科学、健全，做到专职、专责、专心、专干，不断提高</w:t>
      </w:r>
      <w:bookmarkStart w:id="0" w:name="_GoBack"/>
      <w:bookmarkEnd w:id="0"/>
      <w:r>
        <w:rPr>
          <w:rFonts w:hint="eastAsia" w:ascii="仿宋_GB2312" w:hAnsi="仿宋_GB2312" w:eastAsia="仿宋_GB2312" w:cs="仿宋_GB2312"/>
          <w:i w:val="0"/>
          <w:caps w:val="0"/>
          <w:color w:val="auto"/>
          <w:spacing w:val="0"/>
          <w:sz w:val="32"/>
          <w:szCs w:val="32"/>
        </w:rPr>
        <w:t>广大居民群众的政府信息知晓率、参与度和幸福满意度。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b w:val="0"/>
          <w:bCs w:val="0"/>
          <w:i w:val="0"/>
          <w:caps w:val="0"/>
          <w:color w:val="auto"/>
          <w:spacing w:val="0"/>
          <w:sz w:val="32"/>
          <w:szCs w:val="32"/>
          <w:lang w:eastAsia="zh-CN"/>
        </w:rPr>
      </w:pPr>
      <w:r>
        <w:rPr>
          <w:rFonts w:hint="eastAsia" w:ascii="黑体" w:hAnsi="黑体" w:eastAsia="黑体" w:cs="黑体"/>
          <w:b w:val="0"/>
          <w:bCs w:val="0"/>
          <w:i w:val="0"/>
          <w:caps w:val="0"/>
          <w:color w:val="auto"/>
          <w:spacing w:val="0"/>
          <w:sz w:val="32"/>
          <w:szCs w:val="32"/>
          <w:lang w:eastAsia="zh-CN"/>
        </w:rPr>
        <w:t>六、其他需要报告的事项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val="0"/>
          <w:i w:val="0"/>
          <w:iCs w:val="0"/>
          <w:caps w:val="0"/>
          <w:color w:val="333333"/>
          <w:spacing w:val="0"/>
          <w:sz w:val="32"/>
          <w:szCs w:val="32"/>
          <w:shd w:val="clear" w:fill="FFFFFF"/>
        </w:rPr>
      </w:pPr>
      <w:r>
        <w:rPr>
          <w:rFonts w:hint="eastAsia" w:ascii="仿宋_GB2312" w:hAnsi="仿宋_GB2312" w:eastAsia="仿宋_GB2312" w:cs="仿宋_GB2312"/>
          <w:i w:val="0"/>
          <w:caps w:val="0"/>
          <w:color w:val="auto"/>
          <w:spacing w:val="0"/>
          <w:sz w:val="32"/>
          <w:szCs w:val="32"/>
          <w:lang w:eastAsia="zh-CN"/>
        </w:rPr>
        <w:t>无</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A24FC4"/>
    <w:rsid w:val="1CA24FC4"/>
    <w:rsid w:val="60A86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2021-10-14T07:39:00Z</dcterms:created>
  <dc:creator>咻榀</dc:creator>
  <cp:lastModifiedBy>咻榀</cp:lastModifiedBy>
  <dcterms:modified xsi:type="dcterms:W3CDTF">2021-10-14T07:58:59Z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EE9F8585FD904FAB8A5C7F6CA1005209</vt:lpwstr>
  </property>
</Properties>
</file>