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樟树市行政服务中心管委会2021年政府信息</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公开工作年度报告</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outlineLvl w:val="9"/>
        <w:rPr>
          <w:rFonts w:hint="eastAsia" w:ascii="仿宋" w:hAnsi="仿宋" w:eastAsia="仿宋_GB2312" w:cs="仿宋"/>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outlineLvl w:val="9"/>
        <w:rPr>
          <w:rFonts w:hint="eastAsia" w:ascii="仿宋" w:hAnsi="仿宋" w:eastAsia="仿宋_GB2312" w:cs="仿宋"/>
          <w:lang w:val="en-US" w:eastAsia="zh-CN"/>
        </w:rPr>
      </w:pPr>
      <w:r>
        <w:rPr>
          <w:rFonts w:hint="eastAsia" w:ascii="仿宋" w:hAnsi="仿宋" w:eastAsia="仿宋_GB2312" w:cs="仿宋"/>
          <w:lang w:val="en-US" w:eastAsia="zh-CN"/>
        </w:rPr>
        <w:t>本报告依据《中华人民共和国政府信息公开条例》（国务院令第711号，以下简称新《条例》）和《国务院办公厅政府信息与政务公开办公室关于政府信息公开工作年度报告有关事项的通知》（国办公开办函〔2019〕60号）要求，由樟树市行政服务中心管委会结合樟树市人民政府网站、樟树市政府信息公开平台等有关统计数据编制。本年度报告中所列数据的统计期限自2021年1月1日起至2021年12月31日止。全文包括总体情况，樟树市行政服务中心管委会主动公开政府信息情况，收到和处理政府信息公开申请情况，因政府信息公开工作被申请行政复议、提起行政诉讼情况，政府信息公开工作存在的主要问题及改进情况，其他需要报告的事项共六部分组成。本年度报告的电子版可以从樟树市人民政府网站（http://www.zhangshu.gov.cn）下载。如对本报告有任何疑问，请与樟树市樟树市行政服务中心管委会联系（地址：樟树市盐城南大道66号，电话：0795-7370013，邮编：331200）。</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outlineLvl w:val="9"/>
        <w:rPr>
          <w:rFonts w:hint="eastAsia" w:ascii="黑体" w:hAnsi="黑体" w:eastAsia="黑体" w:cs="黑体"/>
          <w:lang w:val="en-US" w:eastAsia="zh-CN"/>
        </w:rPr>
      </w:pPr>
      <w:r>
        <w:rPr>
          <w:rFonts w:hint="eastAsia" w:ascii="黑体" w:hAnsi="黑体" w:eastAsia="黑体" w:cs="黑体"/>
          <w:lang w:val="en-US" w:eastAsia="zh-CN"/>
        </w:rPr>
        <w:t>一、总体情况</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outlineLvl w:val="9"/>
        <w:rPr>
          <w:rFonts w:hint="default" w:ascii="仿宋" w:hAnsi="仿宋" w:eastAsia="仿宋_GB2312" w:cs="仿宋"/>
          <w:lang w:val="en-US" w:eastAsia="zh-CN"/>
        </w:rPr>
      </w:pPr>
      <w:r>
        <w:rPr>
          <w:rFonts w:hint="eastAsia" w:ascii="仿宋" w:hAnsi="仿宋" w:eastAsia="仿宋_GB2312" w:cs="仿宋"/>
          <w:lang w:val="en-US" w:eastAsia="zh-CN"/>
        </w:rPr>
        <w:t>2021年樟树市行政服务中心管委会坚持以习近平新时代中国特色社会主义思想为指导，深入贯彻党的十九大和十九届二中、三中、四中、五中、六中全会精神，严格落实《国务院办公厅印发〈关于全面推进政务公开工作的意见〉实施细则的通知》（国办发〔2016〕80号）和《国务院办公厅关于印发2020</w:t>
      </w:r>
      <w:r>
        <w:rPr>
          <w:rFonts w:hint="default" w:ascii="仿宋" w:hAnsi="仿宋" w:eastAsia="仿宋_GB2312" w:cs="仿宋"/>
          <w:lang w:val="en-US" w:eastAsia="zh-CN"/>
        </w:rPr>
        <w:t>年政务公开工作要点的通知》（国办发〔2020〕17号）的要求。</w:t>
      </w:r>
      <w:r>
        <w:rPr>
          <w:rFonts w:hint="eastAsia" w:ascii="仿宋" w:hAnsi="仿宋" w:eastAsia="仿宋_GB2312" w:cs="仿宋"/>
          <w:lang w:val="en-US" w:eastAsia="zh-CN"/>
        </w:rPr>
        <w:t>遵循便民原则，聚焦优化营商环境，</w:t>
      </w:r>
      <w:r>
        <w:rPr>
          <w:rFonts w:hint="default" w:ascii="仿宋" w:hAnsi="仿宋" w:eastAsia="仿宋_GB2312" w:cs="仿宋"/>
          <w:lang w:val="en-US" w:eastAsia="zh-CN"/>
        </w:rPr>
        <w:t>紧紧围绕</w:t>
      </w:r>
      <w:r>
        <w:rPr>
          <w:rFonts w:hint="eastAsia" w:ascii="仿宋" w:hAnsi="仿宋" w:eastAsia="仿宋_GB2312" w:cs="仿宋"/>
          <w:lang w:val="en-US" w:eastAsia="zh-CN"/>
        </w:rPr>
        <w:t>市</w:t>
      </w:r>
      <w:r>
        <w:rPr>
          <w:rFonts w:hint="default" w:ascii="仿宋" w:hAnsi="仿宋" w:eastAsia="仿宋_GB2312" w:cs="仿宋"/>
          <w:lang w:val="en-US" w:eastAsia="zh-CN"/>
        </w:rPr>
        <w:t>委、</w:t>
      </w:r>
      <w:r>
        <w:rPr>
          <w:rFonts w:hint="eastAsia" w:ascii="仿宋" w:hAnsi="仿宋" w:eastAsia="仿宋_GB2312" w:cs="仿宋"/>
          <w:lang w:val="en-US" w:eastAsia="zh-CN"/>
        </w:rPr>
        <w:t>市</w:t>
      </w:r>
      <w:r>
        <w:rPr>
          <w:rFonts w:hint="default" w:ascii="仿宋" w:hAnsi="仿宋" w:eastAsia="仿宋_GB2312" w:cs="仿宋"/>
          <w:lang w:val="en-US" w:eastAsia="zh-CN"/>
        </w:rPr>
        <w:t>政府中心工作及群众关注关切，着力提升政府信息公开质量，不断增强政府信息公开实效。</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outlineLvl w:val="9"/>
        <w:rPr>
          <w:rFonts w:hint="eastAsia" w:ascii="楷体_GB2312" w:hAnsi="楷体_GB2312" w:eastAsia="楷体_GB2312" w:cs="楷体_GB2312"/>
          <w:b/>
          <w:bCs/>
          <w:lang w:val="en-US" w:eastAsia="zh-CN"/>
        </w:rPr>
      </w:pPr>
      <w:r>
        <w:rPr>
          <w:rFonts w:hint="eastAsia" w:ascii="楷体_GB2312" w:hAnsi="楷体_GB2312" w:eastAsia="楷体_GB2312" w:cs="楷体_GB2312"/>
          <w:b/>
          <w:bCs/>
          <w:lang w:val="en-US" w:eastAsia="zh-CN"/>
        </w:rPr>
        <w:t>（一）主动公开</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outlineLvl w:val="9"/>
        <w:rPr>
          <w:rFonts w:hint="default" w:ascii="仿宋" w:hAnsi="仿宋" w:eastAsia="仿宋_GB2312" w:cs="仿宋"/>
          <w:lang w:val="en-US" w:eastAsia="zh-CN"/>
        </w:rPr>
      </w:pPr>
      <w:r>
        <w:rPr>
          <w:rFonts w:hint="eastAsia" w:ascii="仿宋" w:hAnsi="仿宋" w:eastAsia="仿宋_GB2312" w:cs="仿宋"/>
          <w:lang w:val="en-US" w:eastAsia="zh-CN"/>
        </w:rPr>
        <w:t>2021年，我委主动公开信息35</w:t>
      </w:r>
      <w:r>
        <w:rPr>
          <w:rFonts w:hint="default" w:ascii="仿宋" w:hAnsi="仿宋" w:eastAsia="仿宋_GB2312" w:cs="仿宋"/>
          <w:lang w:val="en-US" w:eastAsia="zh-CN"/>
        </w:rPr>
        <w:t>条，其中决策公开0条，执行公开0条，管理公开0条，服务公开0条。</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outlineLvl w:val="9"/>
        <w:rPr>
          <w:rFonts w:hint="eastAsia" w:ascii="楷体_GB2312" w:hAnsi="楷体_GB2312" w:eastAsia="楷体_GB2312" w:cs="楷体_GB2312"/>
          <w:b/>
          <w:bCs/>
          <w:lang w:val="en-US" w:eastAsia="zh-CN"/>
        </w:rPr>
      </w:pPr>
      <w:r>
        <w:rPr>
          <w:rFonts w:hint="eastAsia" w:ascii="楷体_GB2312" w:hAnsi="楷体_GB2312" w:eastAsia="楷体_GB2312" w:cs="楷体_GB2312"/>
          <w:b/>
          <w:bCs/>
          <w:lang w:val="en-US" w:eastAsia="zh-CN"/>
        </w:rPr>
        <w:t>（二）依申请公开</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outlineLvl w:val="9"/>
        <w:rPr>
          <w:rFonts w:hint="eastAsia" w:ascii="仿宋" w:hAnsi="仿宋" w:eastAsia="仿宋_GB2312" w:cs="仿宋"/>
          <w:lang w:val="en-US" w:eastAsia="zh-CN"/>
        </w:rPr>
      </w:pPr>
      <w:r>
        <w:rPr>
          <w:rFonts w:hint="eastAsia" w:ascii="仿宋" w:hAnsi="仿宋" w:eastAsia="仿宋_GB2312" w:cs="仿宋"/>
          <w:lang w:val="en-US" w:eastAsia="zh-CN"/>
        </w:rPr>
        <w:t>全年收到政府信息公开申请1件，均在时限内按工作规范依法答复申请人，依申请公开办理事项均未引起行政复议或诉讼等情况。</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outlineLvl w:val="9"/>
        <w:rPr>
          <w:rFonts w:hint="default" w:ascii="楷体_GB2312" w:hAnsi="楷体_GB2312" w:eastAsia="楷体_GB2312" w:cs="楷体_GB2312"/>
          <w:b/>
          <w:bCs/>
          <w:lang w:val="en-US" w:eastAsia="zh-CN"/>
        </w:rPr>
      </w:pPr>
      <w:r>
        <w:rPr>
          <w:rFonts w:hint="eastAsia" w:ascii="楷体_GB2312" w:hAnsi="楷体_GB2312" w:eastAsia="楷体_GB2312" w:cs="楷体_GB2312"/>
          <w:b/>
          <w:bCs/>
          <w:lang w:val="en-US" w:eastAsia="zh-CN"/>
        </w:rPr>
        <w:t>（三）政府信息管理</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outlineLvl w:val="9"/>
        <w:rPr>
          <w:rFonts w:hint="default" w:ascii="仿宋" w:hAnsi="仿宋" w:eastAsia="仿宋_GB2312" w:cs="仿宋"/>
          <w:lang w:val="en-US" w:eastAsia="zh-CN"/>
        </w:rPr>
      </w:pPr>
      <w:r>
        <w:rPr>
          <w:rFonts w:hint="default" w:ascii="仿宋" w:hAnsi="仿宋" w:eastAsia="仿宋_GB2312" w:cs="仿宋"/>
          <w:b/>
          <w:bCs/>
          <w:lang w:val="en-US" w:eastAsia="zh-CN"/>
        </w:rPr>
        <w:t>1.规范化标准化建设</w:t>
      </w:r>
      <w:r>
        <w:rPr>
          <w:rFonts w:hint="eastAsia" w:ascii="仿宋" w:hAnsi="仿宋" w:eastAsia="仿宋_GB2312" w:cs="仿宋"/>
          <w:b/>
          <w:bCs/>
          <w:lang w:val="en-US" w:eastAsia="zh-CN"/>
        </w:rPr>
        <w:t>。</w:t>
      </w:r>
      <w:r>
        <w:rPr>
          <w:rFonts w:hint="eastAsia" w:ascii="仿宋" w:hAnsi="仿宋" w:eastAsia="仿宋_GB2312" w:cs="仿宋"/>
          <w:lang w:val="en-US" w:eastAsia="zh-CN"/>
        </w:rPr>
        <w:t>贯彻预防为主的思想，树立常备不懈的观念，做好应对网络安全突发事件的思想准备、预案准备、机制准备，做好网络安全隐患的日常监测。</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outlineLvl w:val="9"/>
        <w:rPr>
          <w:rFonts w:hint="default" w:ascii="仿宋" w:hAnsi="仿宋" w:eastAsia="仿宋_GB2312" w:cs="仿宋"/>
          <w:lang w:val="en-US" w:eastAsia="zh-CN"/>
        </w:rPr>
      </w:pPr>
      <w:r>
        <w:rPr>
          <w:rFonts w:hint="default" w:ascii="仿宋" w:hAnsi="仿宋" w:eastAsia="仿宋_GB2312" w:cs="仿宋"/>
          <w:b/>
          <w:bCs/>
          <w:lang w:val="en-US" w:eastAsia="zh-CN"/>
        </w:rPr>
        <w:t>2.数字化管理</w:t>
      </w:r>
      <w:r>
        <w:rPr>
          <w:rFonts w:hint="eastAsia" w:ascii="仿宋" w:hAnsi="仿宋" w:eastAsia="仿宋_GB2312" w:cs="仿宋"/>
          <w:b/>
          <w:bCs/>
          <w:lang w:val="en-US" w:eastAsia="zh-CN"/>
        </w:rPr>
        <w:t>。</w:t>
      </w:r>
      <w:r>
        <w:rPr>
          <w:rFonts w:hint="eastAsia" w:ascii="仿宋" w:hAnsi="仿宋" w:eastAsia="仿宋_GB2312" w:cs="仿宋"/>
          <w:lang w:val="en-US" w:eastAsia="zh-CN"/>
        </w:rPr>
        <w:t>樟树市行政服务中心管委会利用信息化手段丰富信息公开形式，以江西省政务服务网、“赣服通”樟树工业园管理平台为载体，拓宽信息公开渠道。以搬迁新政务大厅为契机，通过与电视台合作，拍摄宣传片，宣传政务大厅服务功能、办事流程。</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outlineLvl w:val="9"/>
        <w:rPr>
          <w:rFonts w:hint="default" w:ascii="仿宋" w:hAnsi="仿宋" w:eastAsia="仿宋_GB2312" w:cs="仿宋"/>
          <w:lang w:val="en-US" w:eastAsia="zh-CN"/>
        </w:rPr>
      </w:pPr>
      <w:r>
        <w:rPr>
          <w:rFonts w:hint="default" w:ascii="仿宋" w:hAnsi="仿宋" w:eastAsia="仿宋_GB2312" w:cs="仿宋"/>
          <w:b/>
          <w:bCs/>
          <w:lang w:val="en-US" w:eastAsia="zh-CN"/>
        </w:rPr>
        <w:t>3.规范信息审核发布机制</w:t>
      </w:r>
      <w:r>
        <w:rPr>
          <w:rFonts w:hint="eastAsia" w:ascii="仿宋" w:hAnsi="仿宋" w:eastAsia="仿宋_GB2312" w:cs="仿宋"/>
          <w:b/>
          <w:bCs/>
          <w:lang w:val="en-US" w:eastAsia="zh-CN"/>
        </w:rPr>
        <w:t>。</w:t>
      </w:r>
      <w:r>
        <w:rPr>
          <w:rFonts w:hint="eastAsia" w:ascii="仿宋" w:hAnsi="仿宋" w:eastAsia="仿宋_GB2312" w:cs="仿宋"/>
          <w:lang w:val="en-US" w:eastAsia="zh-CN"/>
        </w:rPr>
        <w:t>严格落实政府信息公开有关要求，建立健全中心信息发布审核机制，明确科室负责人、中心分管领导、中心主要领导三级审核后发布，确保单位信息公开权威性、准确性、及时性。</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outlineLvl w:val="9"/>
        <w:rPr>
          <w:rFonts w:hint="default" w:ascii="仿宋" w:hAnsi="仿宋" w:eastAsia="仿宋_GB2312" w:cs="仿宋"/>
          <w:highlight w:val="cyan"/>
          <w:lang w:val="en-US" w:eastAsia="zh-CN"/>
        </w:rPr>
      </w:pPr>
      <w:r>
        <w:rPr>
          <w:rFonts w:hint="default" w:ascii="仿宋" w:hAnsi="仿宋" w:eastAsia="仿宋_GB2312" w:cs="仿宋"/>
          <w:b/>
          <w:bCs/>
          <w:lang w:val="en-US" w:eastAsia="zh-CN"/>
        </w:rPr>
        <w:t>4.规范性文件清理</w:t>
      </w:r>
      <w:r>
        <w:rPr>
          <w:rFonts w:hint="eastAsia" w:ascii="仿宋" w:hAnsi="仿宋" w:eastAsia="仿宋_GB2312" w:cs="仿宋"/>
          <w:b/>
          <w:bCs/>
          <w:lang w:val="en-US" w:eastAsia="zh-CN"/>
        </w:rPr>
        <w:t>按照。</w:t>
      </w:r>
      <w:r>
        <w:rPr>
          <w:rFonts w:hint="eastAsia" w:ascii="仿宋" w:hAnsi="仿宋" w:eastAsia="仿宋_GB2312" w:cs="仿宋"/>
          <w:lang w:val="en-US" w:eastAsia="zh-CN"/>
        </w:rPr>
        <w:t>《宜春市人民政府关于公布规范性文件清理结果的通知》（宜府字〔2021〕11号）文件要求，做好规范性文件清理工作。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outlineLvl w:val="9"/>
        <w:rPr>
          <w:rFonts w:hint="eastAsia" w:ascii="楷体_GB2312" w:hAnsi="楷体_GB2312" w:eastAsia="楷体_GB2312" w:cs="楷体_GB2312"/>
          <w:b/>
          <w:bCs/>
          <w:lang w:val="en-US" w:eastAsia="zh-CN"/>
        </w:rPr>
      </w:pPr>
      <w:r>
        <w:rPr>
          <w:rFonts w:hint="eastAsia" w:ascii="楷体_GB2312" w:hAnsi="楷体_GB2312" w:eastAsia="楷体_GB2312" w:cs="楷体_GB2312"/>
          <w:b/>
          <w:bCs/>
          <w:lang w:val="en-US" w:eastAsia="zh-CN"/>
        </w:rPr>
        <w:t>（四）政府信息公开平台建设</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outlineLvl w:val="9"/>
        <w:rPr>
          <w:rFonts w:hint="default" w:ascii="仿宋" w:hAnsi="仿宋" w:eastAsia="仿宋_GB2312" w:cs="仿宋"/>
          <w:lang w:val="en-US" w:eastAsia="zh-CN"/>
        </w:rPr>
      </w:pPr>
      <w:r>
        <w:rPr>
          <w:rFonts w:hint="default" w:ascii="仿宋" w:hAnsi="仿宋" w:eastAsia="仿宋_GB2312" w:cs="仿宋"/>
          <w:b/>
          <w:bCs/>
          <w:lang w:val="en-US" w:eastAsia="zh-CN"/>
        </w:rPr>
        <w:t>1.政府门户网站第一平台作用</w:t>
      </w:r>
      <w:r>
        <w:rPr>
          <w:rFonts w:hint="eastAsia" w:ascii="仿宋" w:hAnsi="仿宋" w:eastAsia="仿宋_GB2312" w:cs="仿宋"/>
          <w:b/>
          <w:bCs/>
          <w:lang w:val="en-US" w:eastAsia="zh-CN"/>
        </w:rPr>
        <w:t>。</w:t>
      </w:r>
      <w:r>
        <w:rPr>
          <w:rFonts w:hint="eastAsia" w:ascii="仿宋" w:hAnsi="仿宋" w:eastAsia="仿宋_GB2312" w:cs="仿宋"/>
          <w:lang w:val="en-US" w:eastAsia="zh-CN"/>
        </w:rPr>
        <w:t>按照上级要求，高标准建设樟树市行政服务中心管委会政务公开体验区，为公民、法人或者其他组织获取政府信息提供方便。</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outlineLvl w:val="9"/>
        <w:rPr>
          <w:rFonts w:hint="default" w:ascii="仿宋" w:hAnsi="仿宋" w:eastAsia="仿宋_GB2312" w:cs="仿宋"/>
          <w:lang w:val="en-US" w:eastAsia="zh-CN"/>
        </w:rPr>
      </w:pPr>
      <w:r>
        <w:rPr>
          <w:rFonts w:hint="default" w:ascii="仿宋" w:hAnsi="仿宋" w:eastAsia="仿宋_GB2312" w:cs="仿宋"/>
          <w:b/>
          <w:bCs/>
          <w:lang w:val="en-US" w:eastAsia="zh-CN"/>
        </w:rPr>
        <w:t>2.公开方式多样化</w:t>
      </w:r>
      <w:r>
        <w:rPr>
          <w:rFonts w:hint="eastAsia" w:ascii="仿宋" w:hAnsi="仿宋" w:eastAsia="仿宋_GB2312" w:cs="仿宋"/>
          <w:b/>
          <w:bCs/>
          <w:lang w:val="en-US" w:eastAsia="zh-CN"/>
        </w:rPr>
        <w:t>。</w:t>
      </w:r>
      <w:r>
        <w:rPr>
          <w:rFonts w:hint="eastAsia" w:ascii="仿宋" w:hAnsi="仿宋" w:eastAsia="仿宋_GB2312" w:cs="仿宋"/>
          <w:lang w:val="en-US" w:eastAsia="zh-CN"/>
        </w:rPr>
        <w:t>在公开形式上，樟树市行政服务中心管委会注重方式方法的多样化，通过政府门户网站、江西省政务服务网、“赣服通”、樟树政务服务微信公众号、政务大厅LED屏等形式，及时、准确将政务服务有关信息向社会公开。</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outlineLvl w:val="9"/>
        <w:rPr>
          <w:rFonts w:hint="eastAsia" w:ascii="楷体_GB2312" w:hAnsi="楷体_GB2312" w:eastAsia="楷体_GB2312" w:cs="楷体_GB2312"/>
          <w:b/>
          <w:bCs/>
          <w:lang w:val="en-US" w:eastAsia="zh-CN"/>
        </w:rPr>
      </w:pPr>
      <w:r>
        <w:rPr>
          <w:rFonts w:hint="eastAsia" w:ascii="楷体_GB2312" w:hAnsi="楷体_GB2312" w:eastAsia="楷体_GB2312" w:cs="楷体_GB2312"/>
          <w:b/>
          <w:bCs/>
          <w:lang w:val="en-US" w:eastAsia="zh-CN"/>
        </w:rPr>
        <w:t>（五）监督保障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outlineLvl w:val="9"/>
        <w:rPr>
          <w:rFonts w:hint="default" w:ascii="仿宋" w:hAnsi="仿宋" w:eastAsia="仿宋_GB2312" w:cs="仿宋"/>
          <w:lang w:val="en-US" w:eastAsia="zh-CN"/>
        </w:rPr>
      </w:pPr>
      <w:r>
        <w:rPr>
          <w:rFonts w:hint="default" w:ascii="仿宋" w:hAnsi="仿宋" w:eastAsia="仿宋_GB2312" w:cs="仿宋"/>
          <w:b/>
          <w:bCs/>
          <w:lang w:val="en-US" w:eastAsia="zh-CN"/>
        </w:rPr>
        <w:t>1.工作考核</w:t>
      </w:r>
      <w:r>
        <w:rPr>
          <w:rFonts w:hint="eastAsia" w:ascii="仿宋" w:hAnsi="仿宋" w:eastAsia="仿宋_GB2312" w:cs="仿宋"/>
          <w:b/>
          <w:bCs/>
          <w:lang w:val="en-US" w:eastAsia="zh-CN"/>
        </w:rPr>
        <w:t>。</w:t>
      </w:r>
      <w:r>
        <w:rPr>
          <w:rFonts w:hint="eastAsia" w:ascii="仿宋" w:hAnsi="仿宋" w:eastAsia="仿宋_GB2312" w:cs="仿宋"/>
          <w:lang w:val="en-US" w:eastAsia="zh-CN"/>
        </w:rPr>
        <w:t>明确政府信息公开工作的指导思想、工作原则、目标任务、工作重点和工作要求等内容，对全年政府信息公开工作有部署、有措施、有检查。</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outlineLvl w:val="9"/>
        <w:rPr>
          <w:rFonts w:hint="default" w:ascii="仿宋" w:hAnsi="仿宋" w:eastAsia="仿宋_GB2312" w:cs="仿宋"/>
          <w:lang w:val="en-US" w:eastAsia="zh-CN"/>
        </w:rPr>
      </w:pPr>
      <w:r>
        <w:rPr>
          <w:rFonts w:hint="default" w:ascii="仿宋" w:hAnsi="仿宋" w:eastAsia="仿宋_GB2312" w:cs="仿宋"/>
          <w:b/>
          <w:bCs/>
          <w:lang w:val="en-US" w:eastAsia="zh-CN"/>
        </w:rPr>
        <w:t>2.社会评议和责任追究</w:t>
      </w:r>
      <w:r>
        <w:rPr>
          <w:rFonts w:hint="eastAsia" w:ascii="仿宋" w:hAnsi="仿宋" w:eastAsia="仿宋_GB2312" w:cs="仿宋"/>
          <w:b/>
          <w:bCs/>
          <w:lang w:val="en-US" w:eastAsia="zh-CN"/>
        </w:rPr>
        <w:t>。</w:t>
      </w:r>
      <w:r>
        <w:rPr>
          <w:rFonts w:hint="default" w:ascii="仿宋" w:hAnsi="仿宋" w:eastAsia="仿宋_GB2312" w:cs="仿宋"/>
          <w:lang w:val="en-US" w:eastAsia="zh-CN"/>
        </w:rPr>
        <w:t>强化对政府信息公开工作的督促检查，通过不定时网上查看信息发布情况，对填报不规范、分类不准确和更新不及时</w:t>
      </w:r>
      <w:r>
        <w:rPr>
          <w:rFonts w:hint="eastAsia" w:ascii="仿宋" w:hAnsi="仿宋" w:eastAsia="仿宋_GB2312" w:cs="仿宋"/>
          <w:lang w:val="en-US" w:eastAsia="zh-CN"/>
        </w:rPr>
        <w:t>栏目</w:t>
      </w:r>
      <w:r>
        <w:rPr>
          <w:rFonts w:hint="default" w:ascii="仿宋" w:hAnsi="仿宋" w:eastAsia="仿宋_GB2312" w:cs="仿宋"/>
          <w:lang w:val="en-US" w:eastAsia="zh-CN"/>
        </w:rPr>
        <w:t>，及时进行纠正。</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outlineLvl w:val="9"/>
        <w:rPr>
          <w:rFonts w:hint="default" w:ascii="仿宋" w:hAnsi="仿宋" w:eastAsia="仿宋_GB2312" w:cs="仿宋"/>
          <w:lang w:val="en-US" w:eastAsia="zh-CN"/>
        </w:rPr>
      </w:pPr>
      <w:r>
        <w:rPr>
          <w:rFonts w:hint="default" w:ascii="仿宋" w:hAnsi="仿宋" w:eastAsia="仿宋_GB2312" w:cs="仿宋"/>
          <w:b/>
          <w:bCs/>
          <w:lang w:val="en-US" w:eastAsia="zh-CN"/>
        </w:rPr>
        <w:t>3.组织领导、监督检查</w:t>
      </w:r>
      <w:r>
        <w:rPr>
          <w:rFonts w:hint="eastAsia" w:ascii="仿宋" w:hAnsi="仿宋" w:eastAsia="仿宋_GB2312" w:cs="仿宋"/>
          <w:b/>
          <w:bCs/>
          <w:lang w:val="en-US" w:eastAsia="zh-CN"/>
        </w:rPr>
        <w:t>。</w:t>
      </w:r>
      <w:r>
        <w:rPr>
          <w:rFonts w:hint="eastAsia" w:ascii="仿宋" w:hAnsi="仿宋" w:eastAsia="仿宋_GB2312" w:cs="仿宋"/>
          <w:lang w:val="en-US" w:eastAsia="zh-CN"/>
        </w:rPr>
        <w:t>明确</w:t>
      </w:r>
      <w:r>
        <w:rPr>
          <w:rFonts w:hint="default" w:ascii="仿宋" w:hAnsi="仿宋" w:eastAsia="仿宋_GB2312" w:cs="仿宋"/>
          <w:lang w:val="en-US" w:eastAsia="zh-CN"/>
        </w:rPr>
        <w:t>专人担任</w:t>
      </w:r>
      <w:r>
        <w:rPr>
          <w:rFonts w:hint="eastAsia" w:ascii="仿宋" w:hAnsi="仿宋" w:eastAsia="仿宋_GB2312" w:cs="仿宋"/>
          <w:lang w:val="en-US" w:eastAsia="zh-CN"/>
        </w:rPr>
        <w:t>负责</w:t>
      </w:r>
      <w:r>
        <w:rPr>
          <w:rFonts w:hint="default" w:ascii="仿宋" w:hAnsi="仿宋" w:eastAsia="仿宋_GB2312" w:cs="仿宋"/>
          <w:lang w:val="en-US" w:eastAsia="zh-CN"/>
        </w:rPr>
        <w:t>政府信息公开</w:t>
      </w:r>
      <w:r>
        <w:rPr>
          <w:rFonts w:hint="eastAsia" w:ascii="仿宋" w:hAnsi="仿宋" w:eastAsia="仿宋_GB2312" w:cs="仿宋"/>
          <w:lang w:val="en-US" w:eastAsia="zh-CN"/>
        </w:rPr>
        <w:t>工作</w:t>
      </w:r>
      <w:r>
        <w:rPr>
          <w:rFonts w:hint="default" w:ascii="仿宋" w:hAnsi="仿宋" w:eastAsia="仿宋_GB2312" w:cs="仿宋"/>
          <w:lang w:val="en-US" w:eastAsia="zh-CN"/>
        </w:rPr>
        <w:t>，做好信息发布相关工作。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outlineLvl w:val="9"/>
        <w:rPr>
          <w:rFonts w:hint="eastAsia" w:ascii="黑体" w:hAnsi="黑体" w:eastAsia="黑体" w:cs="黑体"/>
          <w:lang w:val="en-US" w:eastAsia="zh-CN"/>
        </w:rPr>
      </w:pPr>
      <w:r>
        <w:rPr>
          <w:rFonts w:hint="eastAsia" w:ascii="黑体" w:hAnsi="黑体" w:eastAsia="黑体" w:cs="黑体"/>
          <w:lang w:val="en-US" w:eastAsia="zh-CN"/>
        </w:rPr>
        <w:t>二、行政机关主动公开政府信息情况</w:t>
      </w:r>
    </w:p>
    <w:tbl>
      <w:tblPr>
        <w:tblStyle w:val="5"/>
        <w:tblW w:w="9039" w:type="dxa"/>
        <w:jc w:val="center"/>
        <w:shd w:val="clear" w:color="auto" w:fill="auto"/>
        <w:tblLayout w:type="fixed"/>
        <w:tblCellMar>
          <w:top w:w="0" w:type="dxa"/>
          <w:left w:w="0" w:type="dxa"/>
          <w:bottom w:w="0" w:type="dxa"/>
          <w:right w:w="0" w:type="dxa"/>
        </w:tblCellMar>
      </w:tblPr>
      <w:tblGrid>
        <w:gridCol w:w="1734"/>
        <w:gridCol w:w="2435"/>
        <w:gridCol w:w="2435"/>
        <w:gridCol w:w="2435"/>
      </w:tblGrid>
      <w:tr>
        <w:tblPrEx>
          <w:shd w:val="clear" w:color="auto" w:fill="auto"/>
          <w:tblCellMar>
            <w:top w:w="0" w:type="dxa"/>
            <w:left w:w="0" w:type="dxa"/>
            <w:bottom w:w="0" w:type="dxa"/>
            <w:right w:w="0" w:type="dxa"/>
          </w:tblCellMar>
        </w:tblPrEx>
        <w:trPr>
          <w:trHeight w:val="340" w:hRule="atLeast"/>
          <w:jc w:val="center"/>
        </w:trPr>
        <w:tc>
          <w:tcPr>
            <w:tcW w:w="9039" w:type="dxa"/>
            <w:gridSpan w:val="4"/>
            <w:tcBorders>
              <w:top w:val="single" w:color="auto" w:sz="8" w:space="0"/>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392" w:firstLineChars="200"/>
              <w:jc w:val="center"/>
              <w:textAlignment w:val="auto"/>
            </w:pPr>
            <w:r>
              <w:rPr>
                <w:rFonts w:hint="eastAsia" w:ascii="宋体" w:hAnsi="宋体" w:eastAsia="宋体" w:cs="宋体"/>
                <w:color w:val="000000"/>
                <w:kern w:val="0"/>
                <w:sz w:val="20"/>
                <w:szCs w:val="20"/>
                <w:lang w:val="en-US" w:eastAsia="zh-CN" w:bidi="ar"/>
              </w:rPr>
              <w:t>第二十条第（一）项</w:t>
            </w:r>
          </w:p>
        </w:tc>
      </w:tr>
      <w:tr>
        <w:tblPrEx>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pPr>
            <w:r>
              <w:rPr>
                <w:rFonts w:hint="eastAsia" w:ascii="宋体" w:hAnsi="宋体" w:eastAsia="宋体" w:cs="宋体"/>
                <w:color w:val="000000"/>
                <w:kern w:val="0"/>
                <w:sz w:val="20"/>
                <w:szCs w:val="20"/>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pPr>
            <w:r>
              <w:rPr>
                <w:rFonts w:hint="eastAsia" w:ascii="宋体" w:hAnsi="宋体" w:eastAsia="宋体" w:cs="宋体"/>
                <w:color w:val="000000"/>
                <w:kern w:val="0"/>
                <w:sz w:val="20"/>
                <w:szCs w:val="20"/>
                <w:lang w:val="en-US" w:eastAsia="zh-CN" w:bidi="ar"/>
              </w:rPr>
              <w:t>本年</w:t>
            </w:r>
            <w:r>
              <w:rPr>
                <w:rFonts w:hint="eastAsia" w:ascii="宋体" w:hAnsi="宋体" w:eastAsia="宋体" w:cs="宋体"/>
                <w:kern w:val="0"/>
                <w:sz w:val="20"/>
                <w:szCs w:val="20"/>
                <w:lang w:val="en-US" w:eastAsia="zh-CN" w:bidi="ar"/>
              </w:rPr>
              <w:t>制发件数</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pPr>
            <w:r>
              <w:rPr>
                <w:rFonts w:hint="eastAsia" w:ascii="宋体" w:hAnsi="宋体" w:eastAsia="宋体" w:cs="宋体"/>
                <w:color w:val="000000"/>
                <w:kern w:val="0"/>
                <w:sz w:val="20"/>
                <w:szCs w:val="20"/>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pPr>
            <w:r>
              <w:rPr>
                <w:rFonts w:hint="eastAsia" w:ascii="宋体" w:hAnsi="宋体" w:eastAsia="宋体" w:cs="宋体"/>
                <w:color w:val="000000"/>
                <w:kern w:val="0"/>
                <w:sz w:val="20"/>
                <w:szCs w:val="20"/>
                <w:lang w:val="en-US" w:eastAsia="zh-CN" w:bidi="ar"/>
              </w:rPr>
              <w:t>现行有效件</w:t>
            </w:r>
            <w:r>
              <w:rPr>
                <w:rFonts w:hint="eastAsia" w:ascii="宋体" w:hAnsi="宋体" w:eastAsia="宋体" w:cs="宋体"/>
                <w:kern w:val="0"/>
                <w:sz w:val="20"/>
                <w:szCs w:val="20"/>
                <w:lang w:val="en-US" w:eastAsia="zh-CN" w:bidi="ar"/>
              </w:rPr>
              <w:t>数</w:t>
            </w:r>
          </w:p>
        </w:tc>
      </w:tr>
      <w:tr>
        <w:tblPrEx>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pPr>
            <w:r>
              <w:rPr>
                <w:rFonts w:hint="eastAsia" w:ascii="宋体" w:hAnsi="宋体" w:eastAsia="宋体" w:cs="宋体"/>
                <w:color w:val="000000"/>
                <w:kern w:val="0"/>
                <w:sz w:val="20"/>
                <w:szCs w:val="20"/>
                <w:lang w:val="en-US" w:eastAsia="zh-CN" w:bidi="ar"/>
              </w:rPr>
              <w:t>规章</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outlineLvl w:val="9"/>
              <w:rPr>
                <w:rFonts w:hint="eastAsia" w:eastAsia="仿宋"/>
                <w:lang w:val="en-US" w:eastAsia="zh-CN"/>
              </w:rPr>
            </w:pPr>
            <w:r>
              <w:rPr>
                <w:rFonts w:hint="eastAsia"/>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outlineLvl w:val="9"/>
              <w:rPr>
                <w:rFonts w:hint="eastAsia" w:eastAsia="仿宋"/>
                <w:lang w:val="en-US" w:eastAsia="zh-CN"/>
              </w:rPr>
            </w:pPr>
            <w:r>
              <w:rPr>
                <w:rFonts w:hint="eastAsia"/>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outlineLvl w:val="9"/>
              <w:rPr>
                <w:rFonts w:hint="eastAsia" w:eastAsia="仿宋"/>
                <w:lang w:val="en-US" w:eastAsia="zh-CN"/>
              </w:rPr>
            </w:pPr>
            <w:r>
              <w:rPr>
                <w:rFonts w:hint="eastAsia"/>
                <w:lang w:val="en-US" w:eastAsia="zh-CN"/>
              </w:rPr>
              <w:t>0</w:t>
            </w:r>
          </w:p>
        </w:tc>
      </w:tr>
      <w:tr>
        <w:tblPrEx>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pPr>
            <w:r>
              <w:rPr>
                <w:rFonts w:hint="eastAsia" w:ascii="宋体" w:hAnsi="宋体" w:eastAsia="宋体" w:cs="宋体"/>
                <w:color w:val="000000"/>
                <w:kern w:val="0"/>
                <w:sz w:val="20"/>
                <w:szCs w:val="20"/>
                <w:lang w:val="en-US" w:eastAsia="zh-CN" w:bidi="ar"/>
              </w:rPr>
              <w:t>行政规范性文件</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outlineLvl w:val="9"/>
              <w:rPr>
                <w:rFonts w:hint="eastAsia" w:eastAsia="仿宋"/>
                <w:lang w:val="en-US" w:eastAsia="zh-CN"/>
              </w:rPr>
            </w:pPr>
            <w:r>
              <w:rPr>
                <w:rFonts w:hint="eastAsia"/>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outlineLvl w:val="9"/>
              <w:rPr>
                <w:rFonts w:hint="eastAsia" w:eastAsia="仿宋"/>
                <w:lang w:val="en-US" w:eastAsia="zh-CN"/>
              </w:rPr>
            </w:pPr>
            <w:r>
              <w:rPr>
                <w:rFonts w:hint="eastAsia"/>
                <w:lang w:val="en-US" w:eastAsia="zh-CN"/>
              </w:rPr>
              <w:t>0</w:t>
            </w:r>
            <w:bookmarkStart w:id="0" w:name="_GoBack"/>
            <w:bookmarkEnd w:id="0"/>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outlineLvl w:val="9"/>
              <w:rPr>
                <w:rFonts w:hint="default" w:eastAsia="仿宋"/>
                <w:lang w:val="en-US" w:eastAsia="zh-CN"/>
              </w:rPr>
            </w:pPr>
            <w:r>
              <w:rPr>
                <w:rFonts w:hint="eastAsia"/>
                <w:lang w:val="en-US" w:eastAsia="zh-CN"/>
              </w:rPr>
              <w:t>0</w:t>
            </w:r>
          </w:p>
        </w:tc>
      </w:tr>
      <w:tr>
        <w:tblPrEx>
          <w:tblCellMar>
            <w:top w:w="0" w:type="dxa"/>
            <w:left w:w="0" w:type="dxa"/>
            <w:bottom w:w="0" w:type="dxa"/>
            <w:right w:w="0" w:type="dxa"/>
          </w:tblCellMar>
        </w:tblPrEx>
        <w:trPr>
          <w:trHeight w:val="340" w:hRule="atLeast"/>
          <w:jc w:val="center"/>
        </w:trPr>
        <w:tc>
          <w:tcPr>
            <w:tcW w:w="9039"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392" w:firstLineChars="200"/>
              <w:jc w:val="center"/>
              <w:textAlignment w:val="auto"/>
            </w:pPr>
            <w:r>
              <w:rPr>
                <w:rFonts w:hint="eastAsia" w:ascii="宋体" w:hAnsi="宋体" w:eastAsia="宋体" w:cs="宋体"/>
                <w:color w:val="000000"/>
                <w:kern w:val="0"/>
                <w:sz w:val="20"/>
                <w:szCs w:val="20"/>
                <w:lang w:val="en-US" w:eastAsia="zh-CN" w:bidi="ar"/>
              </w:rPr>
              <w:t>第二十条第（五）项</w:t>
            </w:r>
          </w:p>
        </w:tc>
      </w:tr>
      <w:tr>
        <w:tblPrEx>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pPr>
            <w:r>
              <w:rPr>
                <w:rFonts w:hint="eastAsia" w:ascii="宋体" w:hAnsi="宋体" w:eastAsia="宋体" w:cs="宋体"/>
                <w:color w:val="000000"/>
                <w:kern w:val="0"/>
                <w:sz w:val="20"/>
                <w:szCs w:val="20"/>
                <w:lang w:val="en-US" w:eastAsia="zh-CN" w:bidi="ar"/>
              </w:rPr>
              <w:t>本年处理决定数量</w:t>
            </w:r>
          </w:p>
        </w:tc>
      </w:tr>
      <w:tr>
        <w:tblPrEx>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pPr>
            <w:r>
              <w:rPr>
                <w:rFonts w:hint="eastAsia" w:ascii="宋体" w:hAnsi="宋体" w:eastAsia="宋体" w:cs="宋体"/>
                <w:color w:val="000000"/>
                <w:kern w:val="0"/>
                <w:sz w:val="20"/>
                <w:szCs w:val="20"/>
                <w:lang w:val="en-US" w:eastAsia="zh-CN" w:bidi="ar"/>
              </w:rPr>
              <w:t>行政许可</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outlineLvl w:val="9"/>
            </w:pPr>
            <w:r>
              <w:rPr>
                <w:rFonts w:hint="eastAsia" w:ascii="Calibri" w:hAnsi="Calibri" w:cs="Calibri"/>
                <w:kern w:val="0"/>
                <w:sz w:val="21"/>
                <w:szCs w:val="21"/>
                <w:lang w:val="en-US" w:eastAsia="zh-CN" w:bidi="ar"/>
              </w:rPr>
              <w:t>0</w:t>
            </w:r>
          </w:p>
        </w:tc>
      </w:tr>
      <w:tr>
        <w:tblPrEx>
          <w:tblCellMar>
            <w:top w:w="0" w:type="dxa"/>
            <w:left w:w="0" w:type="dxa"/>
            <w:bottom w:w="0" w:type="dxa"/>
            <w:right w:w="0" w:type="dxa"/>
          </w:tblCellMar>
        </w:tblPrEx>
        <w:trPr>
          <w:trHeight w:val="340" w:hRule="atLeast"/>
          <w:jc w:val="center"/>
        </w:trPr>
        <w:tc>
          <w:tcPr>
            <w:tcW w:w="9039"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392" w:firstLineChars="200"/>
              <w:jc w:val="center"/>
              <w:textAlignment w:val="auto"/>
            </w:pPr>
            <w:r>
              <w:rPr>
                <w:rFonts w:hint="eastAsia" w:ascii="宋体" w:hAnsi="宋体" w:eastAsia="宋体" w:cs="宋体"/>
                <w:color w:val="000000"/>
                <w:kern w:val="0"/>
                <w:sz w:val="20"/>
                <w:szCs w:val="20"/>
                <w:lang w:val="en-US" w:eastAsia="zh-CN" w:bidi="ar"/>
              </w:rPr>
              <w:t>第二十条第（六）项</w:t>
            </w:r>
          </w:p>
        </w:tc>
      </w:tr>
      <w:tr>
        <w:tblPrEx>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pPr>
            <w:r>
              <w:rPr>
                <w:rFonts w:hint="eastAsia" w:ascii="宋体" w:hAnsi="宋体" w:eastAsia="宋体" w:cs="宋体"/>
                <w:color w:val="000000"/>
                <w:kern w:val="0"/>
                <w:sz w:val="20"/>
                <w:szCs w:val="20"/>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pPr>
            <w:r>
              <w:rPr>
                <w:rFonts w:hint="eastAsia" w:ascii="宋体" w:hAnsi="宋体" w:eastAsia="宋体" w:cs="宋体"/>
                <w:color w:val="000000"/>
                <w:kern w:val="0"/>
                <w:sz w:val="20"/>
                <w:szCs w:val="20"/>
                <w:lang w:val="en-US" w:eastAsia="zh-CN" w:bidi="ar"/>
              </w:rPr>
              <w:t>本年处理决定数量</w:t>
            </w:r>
          </w:p>
        </w:tc>
      </w:tr>
      <w:tr>
        <w:tblPrEx>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pPr>
            <w:r>
              <w:rPr>
                <w:rFonts w:hint="eastAsia" w:ascii="宋体" w:hAnsi="宋体" w:eastAsia="宋体" w:cs="宋体"/>
                <w:color w:val="000000"/>
                <w:kern w:val="0"/>
                <w:sz w:val="20"/>
                <w:szCs w:val="20"/>
                <w:lang w:val="en-US" w:eastAsia="zh-CN" w:bidi="ar"/>
              </w:rPr>
              <w:t>行政处罚</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outlineLvl w:val="9"/>
            </w:pPr>
            <w:r>
              <w:rPr>
                <w:rFonts w:hint="eastAsia"/>
                <w:lang w:val="en-US" w:eastAsia="zh-CN"/>
              </w:rPr>
              <w:t>0</w:t>
            </w:r>
          </w:p>
        </w:tc>
      </w:tr>
      <w:tr>
        <w:tblPrEx>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pPr>
            <w:r>
              <w:rPr>
                <w:rFonts w:hint="eastAsia" w:ascii="宋体" w:hAnsi="宋体" w:eastAsia="宋体" w:cs="宋体"/>
                <w:color w:val="000000"/>
                <w:kern w:val="0"/>
                <w:sz w:val="20"/>
                <w:szCs w:val="20"/>
                <w:lang w:val="en-US" w:eastAsia="zh-CN" w:bidi="ar"/>
              </w:rPr>
              <w:t>行政强制</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outlineLvl w:val="9"/>
            </w:pPr>
            <w:r>
              <w:rPr>
                <w:rFonts w:hint="eastAsia"/>
                <w:lang w:val="en-US" w:eastAsia="zh-CN"/>
              </w:rPr>
              <w:t>0</w:t>
            </w:r>
          </w:p>
        </w:tc>
      </w:tr>
      <w:tr>
        <w:tblPrEx>
          <w:tblCellMar>
            <w:top w:w="0" w:type="dxa"/>
            <w:left w:w="0" w:type="dxa"/>
            <w:bottom w:w="0" w:type="dxa"/>
            <w:right w:w="0" w:type="dxa"/>
          </w:tblCellMar>
        </w:tblPrEx>
        <w:trPr>
          <w:trHeight w:val="340" w:hRule="atLeast"/>
          <w:jc w:val="center"/>
        </w:trPr>
        <w:tc>
          <w:tcPr>
            <w:tcW w:w="9039"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392" w:firstLineChars="200"/>
              <w:jc w:val="center"/>
              <w:textAlignment w:val="auto"/>
            </w:pPr>
            <w:r>
              <w:rPr>
                <w:rFonts w:hint="eastAsia" w:ascii="宋体" w:hAnsi="宋体" w:eastAsia="宋体" w:cs="宋体"/>
                <w:color w:val="000000"/>
                <w:kern w:val="0"/>
                <w:sz w:val="20"/>
                <w:szCs w:val="20"/>
                <w:lang w:val="en-US" w:eastAsia="zh-CN" w:bidi="ar"/>
              </w:rPr>
              <w:t>第二十条第（八）项</w:t>
            </w:r>
          </w:p>
        </w:tc>
      </w:tr>
      <w:tr>
        <w:tblPrEx>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pPr>
            <w:r>
              <w:rPr>
                <w:rFonts w:hint="eastAsia" w:ascii="宋体" w:hAnsi="宋体" w:eastAsia="宋体" w:cs="宋体"/>
                <w:color w:val="000000"/>
                <w:kern w:val="0"/>
                <w:sz w:val="20"/>
                <w:szCs w:val="20"/>
                <w:lang w:val="en-US" w:eastAsia="zh-CN" w:bidi="ar"/>
              </w:rPr>
              <w:t>本年收费金额（单位：万元）</w:t>
            </w:r>
          </w:p>
        </w:tc>
      </w:tr>
      <w:tr>
        <w:tblPrEx>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pPr>
            <w:r>
              <w:rPr>
                <w:rFonts w:hint="eastAsia" w:ascii="宋体" w:hAnsi="宋体" w:eastAsia="宋体" w:cs="宋体"/>
                <w:color w:val="000000"/>
                <w:kern w:val="0"/>
                <w:sz w:val="20"/>
                <w:szCs w:val="20"/>
                <w:lang w:val="en-US" w:eastAsia="zh-CN" w:bidi="ar"/>
              </w:rPr>
              <w:t>行政事业性收费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eastAsia="仿宋"/>
                <w:sz w:val="24"/>
                <w:szCs w:val="24"/>
                <w:lang w:val="en-US" w:eastAsia="zh-CN"/>
              </w:rPr>
            </w:pPr>
            <w:r>
              <w:rPr>
                <w:rFonts w:hint="eastAsia" w:ascii="宋体"/>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outlineLvl w:val="9"/>
        <w:rPr>
          <w:rFonts w:hint="default" w:ascii="黑体" w:hAnsi="黑体" w:eastAsia="黑体" w:cs="黑体"/>
          <w:lang w:val="en-US" w:eastAsia="zh-CN"/>
        </w:rPr>
      </w:pPr>
      <w:r>
        <w:rPr>
          <w:rFonts w:hint="eastAsia" w:ascii="黑体" w:hAnsi="黑体" w:eastAsia="黑体" w:cs="黑体"/>
          <w:lang w:val="en-US" w:eastAsia="zh-CN"/>
        </w:rPr>
        <w:t>三、行政机关收到和处理政府信息公开申请情况</w:t>
      </w:r>
    </w:p>
    <w:tbl>
      <w:tblPr>
        <w:tblStyle w:val="5"/>
        <w:tblW w:w="90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818"/>
        <w:gridCol w:w="835"/>
        <w:gridCol w:w="2579"/>
        <w:gridCol w:w="688"/>
        <w:gridCol w:w="688"/>
        <w:gridCol w:w="688"/>
        <w:gridCol w:w="688"/>
        <w:gridCol w:w="688"/>
        <w:gridCol w:w="688"/>
        <w:gridCol w:w="68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232"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left"/>
              <w:textAlignment w:val="auto"/>
              <w:outlineLvl w:val="9"/>
            </w:pPr>
            <w:r>
              <w:rPr>
                <w:rFonts w:ascii="楷体" w:hAnsi="楷体" w:eastAsia="楷体" w:cs="楷体"/>
                <w:kern w:val="0"/>
                <w:sz w:val="20"/>
                <w:szCs w:val="20"/>
                <w:lang w:val="en-US" w:eastAsia="zh-CN" w:bidi="ar"/>
              </w:rPr>
              <w:t>（本列数据的勾稽关系为：第一项加第二项之和，等于第三项加第四项之和）</w:t>
            </w:r>
          </w:p>
        </w:tc>
        <w:tc>
          <w:tcPr>
            <w:tcW w:w="4816"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outlineLvl w:val="9"/>
            </w:pPr>
            <w:r>
              <w:rPr>
                <w:rFonts w:hint="eastAsia" w:ascii="宋体" w:hAnsi="宋体" w:eastAsia="宋体" w:cs="宋体"/>
                <w:kern w:val="0"/>
                <w:sz w:val="20"/>
                <w:szCs w:val="2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575" w:hRule="atLeast"/>
          <w:jc w:val="center"/>
        </w:trPr>
        <w:tc>
          <w:tcPr>
            <w:tcW w:w="4232"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688"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outlineLvl w:val="9"/>
            </w:pPr>
            <w:r>
              <w:rPr>
                <w:rFonts w:hint="eastAsia" w:ascii="宋体" w:hAnsi="宋体" w:eastAsia="宋体" w:cs="宋体"/>
                <w:kern w:val="0"/>
                <w:sz w:val="20"/>
                <w:szCs w:val="20"/>
                <w:lang w:val="en-US" w:eastAsia="zh-CN" w:bidi="ar"/>
              </w:rPr>
              <w:t>自然人</w:t>
            </w:r>
          </w:p>
        </w:tc>
        <w:tc>
          <w:tcPr>
            <w:tcW w:w="3440"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outlineLvl w:val="9"/>
            </w:pPr>
            <w:r>
              <w:rPr>
                <w:rFonts w:hint="eastAsia" w:ascii="宋体" w:hAnsi="宋体" w:eastAsia="宋体" w:cs="宋体"/>
                <w:kern w:val="0"/>
                <w:sz w:val="20"/>
                <w:szCs w:val="20"/>
                <w:lang w:val="en-US" w:eastAsia="zh-CN" w:bidi="ar"/>
              </w:rPr>
              <w:t>法人或其他组织</w:t>
            </w:r>
          </w:p>
        </w:tc>
        <w:tc>
          <w:tcPr>
            <w:tcW w:w="688"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outlineLvl w:val="9"/>
            </w:pPr>
            <w:r>
              <w:rPr>
                <w:rFonts w:hint="eastAsia" w:ascii="宋体" w:hAnsi="宋体" w:eastAsia="宋体" w:cs="宋体"/>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232"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688"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jc w:val="center"/>
              <w:textAlignment w:val="auto"/>
              <w:outlineLvl w:val="9"/>
              <w:rPr>
                <w:rFonts w:hint="eastAsia" w:ascii="宋体"/>
                <w:sz w:val="24"/>
                <w:szCs w:val="24"/>
              </w:rPr>
            </w:pP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outlineLvl w:val="9"/>
            </w:pPr>
            <w:r>
              <w:rPr>
                <w:rFonts w:hint="eastAsia" w:ascii="宋体" w:hAnsi="宋体" w:eastAsia="宋体" w:cs="宋体"/>
                <w:kern w:val="0"/>
                <w:sz w:val="20"/>
                <w:szCs w:val="20"/>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outlineLvl w:val="9"/>
            </w:pPr>
            <w:r>
              <w:rPr>
                <w:rFonts w:hint="eastAsia" w:ascii="宋体" w:hAnsi="宋体" w:eastAsia="宋体" w:cs="宋体"/>
                <w:kern w:val="0"/>
                <w:sz w:val="20"/>
                <w:szCs w:val="20"/>
                <w:lang w:val="en-US" w:eastAsia="zh-CN" w:bidi="ar"/>
              </w:rPr>
              <w:t>企业</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outlineLvl w:val="9"/>
            </w:pPr>
            <w:r>
              <w:rPr>
                <w:rFonts w:hint="eastAsia" w:ascii="宋体" w:hAnsi="宋体" w:eastAsia="宋体" w:cs="宋体"/>
                <w:kern w:val="0"/>
                <w:sz w:val="20"/>
                <w:szCs w:val="20"/>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outlineLvl w:val="9"/>
            </w:pPr>
            <w:r>
              <w:rPr>
                <w:rFonts w:hint="eastAsia" w:ascii="宋体" w:hAnsi="宋体" w:eastAsia="宋体" w:cs="宋体"/>
                <w:kern w:val="0"/>
                <w:sz w:val="20"/>
                <w:szCs w:val="20"/>
                <w:lang w:val="en-US" w:eastAsia="zh-CN" w:bidi="ar"/>
              </w:rPr>
              <w:t>机构</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outlineLvl w:val="9"/>
            </w:pPr>
            <w:r>
              <w:rPr>
                <w:rFonts w:hint="eastAsia" w:ascii="宋体" w:hAnsi="宋体" w:eastAsia="宋体" w:cs="宋体"/>
                <w:kern w:val="0"/>
                <w:sz w:val="20"/>
                <w:szCs w:val="20"/>
                <w:lang w:val="en-US" w:eastAsia="zh-CN" w:bidi="ar"/>
              </w:rPr>
              <w:t>社会公益组织</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outlineLvl w:val="9"/>
            </w:pPr>
            <w:r>
              <w:rPr>
                <w:rFonts w:hint="eastAsia" w:ascii="宋体" w:hAnsi="宋体" w:eastAsia="宋体" w:cs="宋体"/>
                <w:kern w:val="0"/>
                <w:sz w:val="20"/>
                <w:szCs w:val="20"/>
                <w:lang w:val="en-US" w:eastAsia="zh-CN" w:bidi="ar"/>
              </w:rPr>
              <w:t>法律服务机构</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center"/>
              <w:textAlignment w:val="auto"/>
              <w:outlineLvl w:val="9"/>
            </w:pPr>
            <w:r>
              <w:rPr>
                <w:rFonts w:hint="eastAsia" w:ascii="宋体" w:hAnsi="宋体" w:eastAsia="宋体" w:cs="宋体"/>
                <w:kern w:val="0"/>
                <w:sz w:val="20"/>
                <w:szCs w:val="20"/>
                <w:lang w:val="en-US" w:eastAsia="zh-CN" w:bidi="ar"/>
              </w:rPr>
              <w:t>其他</w:t>
            </w:r>
          </w:p>
        </w:tc>
        <w:tc>
          <w:tcPr>
            <w:tcW w:w="688"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jc w:val="center"/>
              <w:textAlignment w:val="auto"/>
              <w:outlineLvl w:val="9"/>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232"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left"/>
              <w:textAlignment w:val="auto"/>
              <w:outlineLvl w:val="9"/>
            </w:pPr>
            <w:r>
              <w:rPr>
                <w:rFonts w:hint="eastAsia" w:ascii="宋体" w:hAnsi="宋体" w:eastAsia="宋体" w:cs="宋体"/>
                <w:kern w:val="0"/>
                <w:sz w:val="20"/>
                <w:szCs w:val="20"/>
                <w:lang w:val="en-US" w:eastAsia="zh-CN" w:bidi="ar"/>
              </w:rPr>
              <w:t>一、本年新收政府信息公开申请数量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right"/>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432" w:firstLineChars="20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432" w:firstLineChars="20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432" w:firstLineChars="20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432" w:firstLineChars="20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432" w:firstLineChars="20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432" w:firstLineChars="20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232"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left"/>
              <w:textAlignment w:val="auto"/>
              <w:outlineLvl w:val="9"/>
            </w:pPr>
            <w:r>
              <w:rPr>
                <w:rFonts w:hint="eastAsia" w:ascii="宋体" w:hAnsi="宋体" w:eastAsia="宋体" w:cs="宋体"/>
                <w:kern w:val="0"/>
                <w:sz w:val="20"/>
                <w:szCs w:val="20"/>
                <w:lang w:val="en-US" w:eastAsia="zh-CN" w:bidi="ar"/>
              </w:rPr>
              <w:t>二、上年结转政府信息公开申请数量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432" w:firstLineChars="200"/>
              <w:jc w:val="right"/>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432" w:firstLineChars="20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432" w:firstLineChars="200"/>
              <w:jc w:val="center"/>
              <w:textAlignment w:val="auto"/>
              <w:outlineLvl w:val="9"/>
              <w:rPr>
                <w:rFonts w:hint="default"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432" w:firstLineChars="20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432" w:firstLineChars="20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432" w:firstLineChars="20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432" w:firstLineChars="20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818"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left"/>
              <w:textAlignment w:val="auto"/>
              <w:outlineLvl w:val="9"/>
            </w:pPr>
            <w:r>
              <w:rPr>
                <w:rFonts w:hint="eastAsia" w:ascii="宋体" w:hAnsi="宋体" w:eastAsia="宋体" w:cs="宋体"/>
                <w:kern w:val="0"/>
                <w:sz w:val="20"/>
                <w:szCs w:val="20"/>
                <w:lang w:val="en-US" w:eastAsia="zh-CN" w:bidi="ar"/>
              </w:rPr>
              <w:t>三、本年度办理结果</w:t>
            </w:r>
          </w:p>
        </w:tc>
        <w:tc>
          <w:tcPr>
            <w:tcW w:w="3414"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left"/>
              <w:textAlignment w:val="auto"/>
              <w:outlineLvl w:val="9"/>
            </w:pPr>
            <w:r>
              <w:rPr>
                <w:rFonts w:hint="eastAsia" w:ascii="宋体" w:hAnsi="宋体" w:eastAsia="宋体" w:cs="宋体"/>
                <w:kern w:val="0"/>
                <w:sz w:val="20"/>
                <w:szCs w:val="20"/>
                <w:lang w:val="en-US" w:eastAsia="zh-CN" w:bidi="ar"/>
              </w:rPr>
              <w:t>（一）予以公开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right"/>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3414"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left"/>
              <w:textAlignment w:val="auto"/>
              <w:outlineLvl w:val="9"/>
            </w:pPr>
            <w:r>
              <w:rPr>
                <w:rFonts w:hint="eastAsia" w:ascii="宋体" w:hAnsi="宋体" w:eastAsia="宋体" w:cs="宋体"/>
                <w:kern w:val="0"/>
                <w:sz w:val="20"/>
                <w:szCs w:val="20"/>
                <w:lang w:val="en-US" w:eastAsia="zh-CN" w:bidi="ar"/>
              </w:rPr>
              <w:t>（二）部分公开</w:t>
            </w:r>
            <w:r>
              <w:rPr>
                <w:rFonts w:hint="eastAsia" w:ascii="楷体" w:hAnsi="楷体" w:eastAsia="楷体" w:cs="楷体"/>
                <w:kern w:val="0"/>
                <w:sz w:val="20"/>
                <w:szCs w:val="20"/>
                <w:lang w:val="en-US" w:eastAsia="zh-CN" w:bidi="ar"/>
              </w:rPr>
              <w:t>（区分处理的，只计这一情形，不计其他情形）</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right"/>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835"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left"/>
              <w:textAlignment w:val="auto"/>
              <w:outlineLvl w:val="9"/>
            </w:pPr>
            <w:r>
              <w:rPr>
                <w:rFonts w:hint="eastAsia" w:ascii="宋体" w:hAnsi="宋体" w:eastAsia="宋体" w:cs="宋体"/>
                <w:kern w:val="0"/>
                <w:sz w:val="20"/>
                <w:szCs w:val="20"/>
                <w:lang w:val="en-US" w:eastAsia="zh-CN" w:bidi="ar"/>
              </w:rPr>
              <w:t>（三）不予公开</w:t>
            </w: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left"/>
              <w:textAlignment w:val="auto"/>
              <w:outlineLvl w:val="9"/>
            </w:pPr>
            <w:r>
              <w:rPr>
                <w:rFonts w:hint="eastAsia" w:ascii="宋体" w:hAnsi="宋体" w:eastAsia="宋体" w:cs="宋体"/>
                <w:kern w:val="0"/>
                <w:sz w:val="20"/>
                <w:szCs w:val="20"/>
                <w:lang w:val="en-US" w:eastAsia="zh-CN" w:bidi="ar"/>
              </w:rPr>
              <w:t>1.属于国家秘密</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right"/>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left"/>
              <w:textAlignment w:val="auto"/>
              <w:outlineLvl w:val="9"/>
            </w:pPr>
            <w:r>
              <w:rPr>
                <w:rFonts w:hint="eastAsia" w:ascii="宋体" w:hAnsi="宋体" w:eastAsia="宋体" w:cs="宋体"/>
                <w:kern w:val="0"/>
                <w:sz w:val="20"/>
                <w:szCs w:val="20"/>
                <w:lang w:val="en-US" w:eastAsia="zh-CN" w:bidi="ar"/>
              </w:rPr>
              <w:t>2.其他法律行政法规禁止公开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right"/>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left"/>
              <w:textAlignment w:val="auto"/>
              <w:outlineLvl w:val="9"/>
            </w:pPr>
            <w:r>
              <w:rPr>
                <w:rFonts w:hint="eastAsia" w:ascii="宋体" w:hAnsi="宋体" w:eastAsia="宋体" w:cs="宋体"/>
                <w:kern w:val="0"/>
                <w:sz w:val="20"/>
                <w:szCs w:val="20"/>
                <w:lang w:val="en-US" w:eastAsia="zh-CN" w:bidi="ar"/>
              </w:rPr>
              <w:t>3.危及“三安全一稳定”</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right"/>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left"/>
              <w:textAlignment w:val="auto"/>
              <w:outlineLvl w:val="9"/>
            </w:pPr>
            <w:r>
              <w:rPr>
                <w:rFonts w:hint="eastAsia" w:ascii="宋体" w:hAnsi="宋体" w:eastAsia="宋体" w:cs="宋体"/>
                <w:kern w:val="0"/>
                <w:sz w:val="20"/>
                <w:szCs w:val="20"/>
                <w:lang w:val="en-US" w:eastAsia="zh-CN" w:bidi="ar"/>
              </w:rPr>
              <w:t>4.保护第三方合法权益</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right"/>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left"/>
              <w:textAlignment w:val="auto"/>
              <w:outlineLvl w:val="9"/>
            </w:pPr>
            <w:r>
              <w:rPr>
                <w:rFonts w:hint="eastAsia" w:ascii="宋体" w:hAnsi="宋体" w:eastAsia="宋体" w:cs="宋体"/>
                <w:kern w:val="0"/>
                <w:sz w:val="20"/>
                <w:szCs w:val="20"/>
                <w:lang w:val="en-US" w:eastAsia="zh-CN" w:bidi="ar"/>
              </w:rPr>
              <w:t>5.属于三类内部事务信息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right"/>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left"/>
              <w:textAlignment w:val="auto"/>
              <w:outlineLvl w:val="9"/>
            </w:pPr>
            <w:r>
              <w:rPr>
                <w:rFonts w:hint="eastAsia" w:ascii="宋体" w:hAnsi="宋体" w:eastAsia="宋体" w:cs="宋体"/>
                <w:kern w:val="0"/>
                <w:sz w:val="20"/>
                <w:szCs w:val="20"/>
                <w:lang w:val="en-US" w:eastAsia="zh-CN" w:bidi="ar"/>
              </w:rPr>
              <w:t>6.属于四类过程性信息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right"/>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left"/>
              <w:textAlignment w:val="auto"/>
              <w:outlineLvl w:val="9"/>
            </w:pPr>
            <w:r>
              <w:rPr>
                <w:rFonts w:hint="eastAsia" w:ascii="宋体" w:hAnsi="宋体" w:eastAsia="宋体" w:cs="宋体"/>
                <w:kern w:val="0"/>
                <w:sz w:val="20"/>
                <w:szCs w:val="20"/>
                <w:lang w:val="en-US" w:eastAsia="zh-CN" w:bidi="ar"/>
              </w:rPr>
              <w:t>7.属于行政执法案卷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right"/>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left"/>
              <w:textAlignment w:val="auto"/>
              <w:outlineLvl w:val="9"/>
            </w:pPr>
            <w:r>
              <w:rPr>
                <w:rFonts w:hint="eastAsia" w:ascii="宋体" w:hAnsi="宋体" w:eastAsia="宋体" w:cs="宋体"/>
                <w:kern w:val="0"/>
                <w:sz w:val="20"/>
                <w:szCs w:val="20"/>
                <w:lang w:val="en-US" w:eastAsia="zh-CN" w:bidi="ar"/>
              </w:rPr>
              <w:t>8.属于行政查询事项</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right"/>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835"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left"/>
              <w:textAlignment w:val="auto"/>
              <w:outlineLvl w:val="9"/>
            </w:pPr>
            <w:r>
              <w:rPr>
                <w:rFonts w:hint="eastAsia" w:ascii="宋体" w:hAnsi="宋体" w:eastAsia="宋体" w:cs="宋体"/>
                <w:kern w:val="0"/>
                <w:sz w:val="20"/>
                <w:szCs w:val="20"/>
                <w:lang w:val="en-US" w:eastAsia="zh-CN" w:bidi="ar"/>
              </w:rPr>
              <w:t>（四）无法提供</w:t>
            </w: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left"/>
              <w:textAlignment w:val="auto"/>
              <w:outlineLvl w:val="9"/>
            </w:pPr>
            <w:r>
              <w:rPr>
                <w:rFonts w:hint="eastAsia" w:ascii="宋体" w:hAnsi="宋体" w:eastAsia="宋体" w:cs="宋体"/>
                <w:kern w:val="0"/>
                <w:sz w:val="20"/>
                <w:szCs w:val="20"/>
                <w:lang w:val="en-US" w:eastAsia="zh-CN" w:bidi="ar"/>
              </w:rPr>
              <w:t>1.本机关不掌握相关政府信息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right"/>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left"/>
              <w:textAlignment w:val="auto"/>
              <w:outlineLvl w:val="9"/>
            </w:pPr>
            <w:r>
              <w:rPr>
                <w:rFonts w:hint="eastAsia" w:ascii="宋体" w:hAnsi="宋体" w:eastAsia="宋体" w:cs="宋体"/>
                <w:kern w:val="0"/>
                <w:sz w:val="20"/>
                <w:szCs w:val="20"/>
                <w:lang w:val="en-US" w:eastAsia="zh-CN" w:bidi="ar"/>
              </w:rPr>
              <w:t>2.没有现成信息需要另行制作</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right"/>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left"/>
              <w:textAlignment w:val="auto"/>
              <w:outlineLvl w:val="9"/>
            </w:pPr>
            <w:r>
              <w:rPr>
                <w:rFonts w:hint="eastAsia" w:ascii="宋体" w:hAnsi="宋体" w:eastAsia="宋体" w:cs="宋体"/>
                <w:kern w:val="0"/>
                <w:sz w:val="20"/>
                <w:szCs w:val="20"/>
                <w:lang w:val="en-US" w:eastAsia="zh-CN" w:bidi="ar"/>
              </w:rPr>
              <w:t>3.补正后申请内容仍不明确</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right"/>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835"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left"/>
              <w:textAlignment w:val="auto"/>
              <w:outlineLvl w:val="9"/>
            </w:pPr>
            <w:r>
              <w:rPr>
                <w:rFonts w:hint="eastAsia" w:ascii="宋体" w:hAnsi="宋体" w:eastAsia="宋体" w:cs="宋体"/>
                <w:kern w:val="0"/>
                <w:sz w:val="20"/>
                <w:szCs w:val="20"/>
                <w:lang w:val="en-US" w:eastAsia="zh-CN" w:bidi="ar"/>
              </w:rPr>
              <w:t>（五）不予处理</w:t>
            </w: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left"/>
              <w:textAlignment w:val="auto"/>
              <w:outlineLvl w:val="9"/>
            </w:pPr>
            <w:r>
              <w:rPr>
                <w:rFonts w:hint="eastAsia" w:ascii="宋体" w:hAnsi="宋体" w:eastAsia="宋体" w:cs="宋体"/>
                <w:kern w:val="0"/>
                <w:sz w:val="20"/>
                <w:szCs w:val="20"/>
                <w:lang w:val="en-US" w:eastAsia="zh-CN" w:bidi="ar"/>
              </w:rPr>
              <w:t>1.信访举报投诉类申请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right"/>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left"/>
              <w:textAlignment w:val="auto"/>
              <w:outlineLvl w:val="9"/>
            </w:pPr>
            <w:r>
              <w:rPr>
                <w:rFonts w:hint="eastAsia" w:ascii="宋体" w:hAnsi="宋体" w:eastAsia="宋体" w:cs="宋体"/>
                <w:kern w:val="0"/>
                <w:sz w:val="20"/>
                <w:szCs w:val="20"/>
                <w:lang w:val="en-US" w:eastAsia="zh-CN" w:bidi="ar"/>
              </w:rPr>
              <w:t>2.重复申请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right"/>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left"/>
              <w:textAlignment w:val="auto"/>
              <w:outlineLvl w:val="9"/>
            </w:pPr>
            <w:r>
              <w:rPr>
                <w:rFonts w:hint="eastAsia" w:ascii="宋体" w:hAnsi="宋体" w:eastAsia="宋体" w:cs="宋体"/>
                <w:kern w:val="0"/>
                <w:sz w:val="20"/>
                <w:szCs w:val="20"/>
                <w:lang w:val="en-US" w:eastAsia="zh-CN" w:bidi="ar"/>
              </w:rPr>
              <w:t>3.要求提供公开出版物</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right"/>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left"/>
              <w:textAlignment w:val="auto"/>
              <w:outlineLvl w:val="9"/>
            </w:pPr>
            <w:r>
              <w:rPr>
                <w:rFonts w:hint="eastAsia" w:ascii="宋体" w:hAnsi="宋体" w:eastAsia="宋体" w:cs="宋体"/>
                <w:kern w:val="0"/>
                <w:sz w:val="20"/>
                <w:szCs w:val="20"/>
                <w:lang w:val="en-US" w:eastAsia="zh-CN" w:bidi="ar"/>
              </w:rPr>
              <w:t>4.无正当理由大量反复申请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right"/>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779" w:hRule="atLeast"/>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2579"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both"/>
              <w:textAlignment w:val="auto"/>
              <w:outlineLvl w:val="9"/>
            </w:pPr>
            <w:r>
              <w:rPr>
                <w:rFonts w:hint="eastAsia" w:ascii="宋体" w:hAnsi="宋体" w:eastAsia="宋体" w:cs="宋体"/>
                <w:kern w:val="0"/>
                <w:sz w:val="20"/>
                <w:szCs w:val="20"/>
                <w:lang w:val="en-US" w:eastAsia="zh-CN" w:bidi="ar"/>
              </w:rPr>
              <w:t>5.要求行政机关确认或重新出具已获取信息</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right"/>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835" w:type="dxa"/>
            <w:vMerge w:val="restart"/>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left"/>
              <w:textAlignment w:val="auto"/>
              <w:outlineLvl w:val="9"/>
            </w:pPr>
            <w:r>
              <w:rPr>
                <w:rFonts w:hint="eastAsia" w:ascii="宋体" w:hAnsi="宋体" w:eastAsia="宋体" w:cs="宋体"/>
                <w:kern w:val="0"/>
                <w:sz w:val="20"/>
                <w:szCs w:val="20"/>
                <w:lang w:val="en-US" w:eastAsia="zh-CN" w:bidi="ar"/>
              </w:rPr>
              <w:t>（六）其他处理</w:t>
            </w: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both"/>
              <w:textAlignment w:val="auto"/>
              <w:outlineLvl w:val="9"/>
            </w:pPr>
            <w:r>
              <w:rPr>
                <w:rFonts w:hint="eastAsia" w:ascii="宋体" w:hAnsi="宋体" w:eastAsia="宋体" w:cs="宋体"/>
                <w:kern w:val="0"/>
                <w:sz w:val="20"/>
                <w:szCs w:val="20"/>
                <w:lang w:val="en-US" w:eastAsia="zh-CN"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right"/>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835"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both"/>
              <w:textAlignment w:val="auto"/>
              <w:outlineLvl w:val="9"/>
            </w:pPr>
            <w:r>
              <w:rPr>
                <w:rFonts w:hint="eastAsia" w:ascii="宋体" w:hAnsi="宋体" w:eastAsia="宋体" w:cs="宋体"/>
                <w:kern w:val="0"/>
                <w:sz w:val="20"/>
                <w:szCs w:val="20"/>
                <w:lang w:val="en-US" w:eastAsia="zh-CN"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right"/>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835"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left"/>
              <w:textAlignment w:val="auto"/>
              <w:outlineLvl w:val="9"/>
            </w:pPr>
            <w:r>
              <w:rPr>
                <w:rFonts w:hint="eastAsia" w:ascii="宋体" w:hAnsi="宋体" w:eastAsia="宋体" w:cs="宋体"/>
                <w:kern w:val="0"/>
                <w:sz w:val="20"/>
                <w:szCs w:val="20"/>
                <w:lang w:val="en-US" w:eastAsia="zh-CN" w:bidi="ar"/>
              </w:rPr>
              <w:t>3.其他</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right"/>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72" w:firstLineChars="200"/>
              <w:textAlignment w:val="auto"/>
              <w:outlineLvl w:val="9"/>
              <w:rPr>
                <w:rFonts w:hint="eastAsia" w:ascii="宋体"/>
                <w:sz w:val="24"/>
                <w:szCs w:val="24"/>
              </w:rPr>
            </w:pPr>
          </w:p>
        </w:tc>
        <w:tc>
          <w:tcPr>
            <w:tcW w:w="3414"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left"/>
              <w:textAlignment w:val="auto"/>
              <w:outlineLvl w:val="9"/>
            </w:pPr>
            <w:r>
              <w:rPr>
                <w:rFonts w:hint="eastAsia" w:ascii="宋体" w:hAnsi="宋体" w:eastAsia="宋体" w:cs="宋体"/>
                <w:kern w:val="0"/>
                <w:sz w:val="20"/>
                <w:szCs w:val="20"/>
                <w:lang w:val="en-US" w:eastAsia="zh-CN" w:bidi="ar"/>
              </w:rPr>
              <w:t>（七）总计</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right"/>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232"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jc w:val="left"/>
              <w:textAlignment w:val="auto"/>
              <w:outlineLvl w:val="9"/>
            </w:pPr>
            <w:r>
              <w:rPr>
                <w:rFonts w:hint="eastAsia" w:ascii="宋体" w:hAnsi="宋体" w:eastAsia="宋体" w:cs="宋体"/>
                <w:kern w:val="0"/>
                <w:sz w:val="20"/>
                <w:szCs w:val="20"/>
                <w:lang w:val="en-US" w:eastAsia="zh-CN" w:bidi="ar"/>
              </w:rPr>
              <w:t>四、结转下年度继续办理</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right"/>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432" w:firstLineChars="200"/>
              <w:jc w:val="center"/>
              <w:textAlignment w:val="auto"/>
              <w:outlineLvl w:val="9"/>
              <w:rPr>
                <w:rFonts w:hint="eastAsia" w:asciiTheme="majorEastAsia" w:hAnsiTheme="majorEastAsia" w:eastAsiaTheme="majorEastAsia" w:cstheme="majorEastAsia"/>
                <w:kern w:val="2"/>
                <w:sz w:val="22"/>
                <w:szCs w:val="22"/>
                <w:lang w:val="en-US" w:eastAsia="zh-CN" w:bidi="ar-SA"/>
              </w:rPr>
            </w:pPr>
            <w:r>
              <w:rPr>
                <w:rFonts w:hint="eastAsia" w:asciiTheme="majorEastAsia" w:hAnsiTheme="majorEastAsia" w:eastAsiaTheme="majorEastAsia" w:cstheme="majorEastAsia"/>
                <w:sz w:val="22"/>
                <w:szCs w:val="22"/>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08" w:firstLineChars="200"/>
        <w:textAlignment w:val="auto"/>
        <w:outlineLvl w:val="9"/>
        <w:rPr>
          <w:rFonts w:hint="default" w:ascii="仿宋" w:hAnsi="仿宋" w:eastAsia="仿宋_GB2312" w:cs="仿宋"/>
          <w:highlight w:val="cyan"/>
          <w:lang w:val="en-US" w:eastAsia="zh-CN"/>
        </w:rPr>
      </w:pPr>
      <w:r>
        <w:rPr>
          <w:rFonts w:hint="eastAsia" w:ascii="黑体" w:hAnsi="黑体" w:eastAsia="黑体" w:cs="黑体"/>
          <w:spacing w:val="-6"/>
          <w:lang w:val="en-US" w:eastAsia="zh-CN"/>
        </w:rPr>
        <w:t>四、因政府信息公开工作被申请行政复议、提起行政诉讼情况</w:t>
      </w:r>
    </w:p>
    <w:tbl>
      <w:tblPr>
        <w:tblStyle w:val="6"/>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619"/>
        <w:gridCol w:w="619"/>
        <w:gridCol w:w="619"/>
        <w:gridCol w:w="619"/>
        <w:gridCol w:w="619"/>
        <w:gridCol w:w="619"/>
        <w:gridCol w:w="619"/>
        <w:gridCol w:w="619"/>
        <w:gridCol w:w="619"/>
        <w:gridCol w:w="619"/>
        <w:gridCol w:w="619"/>
        <w:gridCol w:w="619"/>
        <w:gridCol w:w="620"/>
        <w:gridCol w:w="620"/>
        <w:gridCol w:w="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0" w:hRule="atLeast"/>
          <w:jc w:val="center"/>
        </w:trPr>
        <w:tc>
          <w:tcPr>
            <w:tcW w:w="309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行政复议</w:t>
            </w:r>
          </w:p>
        </w:tc>
        <w:tc>
          <w:tcPr>
            <w:tcW w:w="6193" w:type="dxa"/>
            <w:gridSpan w:val="1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0" w:hRule="atLeast"/>
          <w:jc w:val="center"/>
        </w:trPr>
        <w:tc>
          <w:tcPr>
            <w:tcW w:w="619" w:type="dxa"/>
            <w:vMerge w:val="restart"/>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right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结果维持</w:t>
            </w:r>
          </w:p>
        </w:tc>
        <w:tc>
          <w:tcPr>
            <w:tcW w:w="619" w:type="dxa"/>
            <w:vMerge w:val="restart"/>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right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19" w:type="dxa"/>
            <w:vMerge w:val="restart"/>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right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19" w:type="dxa"/>
            <w:vMerge w:val="restart"/>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right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19" w:type="dxa"/>
            <w:vMerge w:val="restart"/>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right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总计</w:t>
            </w:r>
          </w:p>
        </w:tc>
        <w:tc>
          <w:tcPr>
            <w:tcW w:w="309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未经复议直接起诉</w:t>
            </w:r>
          </w:p>
        </w:tc>
        <w:tc>
          <w:tcPr>
            <w:tcW w:w="3098"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0" w:hRule="atLeast"/>
          <w:jc w:val="center"/>
        </w:trPr>
        <w:tc>
          <w:tcPr>
            <w:tcW w:w="619" w:type="dxa"/>
            <w:vMerge w:val="continue"/>
            <w:vAlign w:val="center"/>
          </w:tcPr>
          <w:p>
            <w:pPr>
              <w:keepNext w:val="0"/>
              <w:keepLines w:val="0"/>
              <w:pageBreakBefore w:val="0"/>
              <w:widowControl w:val="0"/>
              <w:kinsoku/>
              <w:wordWrap/>
              <w:overflowPunct/>
              <w:topLinePunct w:val="0"/>
              <w:autoSpaceDE/>
              <w:autoSpaceDN/>
              <w:bidi w:val="0"/>
              <w:adjustRightInd/>
              <w:snapToGrid/>
              <w:spacing w:line="560" w:lineRule="exact"/>
              <w:ind w:firstLine="392" w:firstLineChars="200"/>
              <w:jc w:val="center"/>
              <w:textAlignment w:val="auto"/>
              <w:outlineLvl w:val="9"/>
              <w:rPr>
                <w:rFonts w:hint="default" w:ascii="宋体" w:hAnsi="宋体" w:eastAsia="宋体" w:cs="宋体"/>
                <w:kern w:val="0"/>
                <w:sz w:val="20"/>
                <w:szCs w:val="20"/>
                <w:lang w:val="en-US" w:eastAsia="zh-CN" w:bidi="ar"/>
              </w:rPr>
            </w:pPr>
          </w:p>
        </w:tc>
        <w:tc>
          <w:tcPr>
            <w:tcW w:w="619" w:type="dxa"/>
            <w:vMerge w:val="continue"/>
            <w:vAlign w:val="center"/>
          </w:tcPr>
          <w:p>
            <w:pPr>
              <w:keepNext w:val="0"/>
              <w:keepLines w:val="0"/>
              <w:pageBreakBefore w:val="0"/>
              <w:widowControl w:val="0"/>
              <w:kinsoku/>
              <w:wordWrap/>
              <w:overflowPunct/>
              <w:topLinePunct w:val="0"/>
              <w:autoSpaceDE/>
              <w:autoSpaceDN/>
              <w:bidi w:val="0"/>
              <w:adjustRightInd/>
              <w:snapToGrid/>
              <w:spacing w:line="560" w:lineRule="exact"/>
              <w:ind w:firstLine="392" w:firstLineChars="200"/>
              <w:jc w:val="center"/>
              <w:textAlignment w:val="auto"/>
              <w:outlineLvl w:val="9"/>
              <w:rPr>
                <w:rFonts w:hint="default" w:ascii="宋体" w:hAnsi="宋体" w:eastAsia="宋体" w:cs="宋体"/>
                <w:kern w:val="0"/>
                <w:sz w:val="20"/>
                <w:szCs w:val="20"/>
                <w:lang w:val="en-US" w:eastAsia="zh-CN" w:bidi="ar"/>
              </w:rPr>
            </w:pPr>
          </w:p>
        </w:tc>
        <w:tc>
          <w:tcPr>
            <w:tcW w:w="619" w:type="dxa"/>
            <w:vMerge w:val="continue"/>
            <w:vAlign w:val="center"/>
          </w:tcPr>
          <w:p>
            <w:pPr>
              <w:keepNext w:val="0"/>
              <w:keepLines w:val="0"/>
              <w:pageBreakBefore w:val="0"/>
              <w:widowControl w:val="0"/>
              <w:kinsoku/>
              <w:wordWrap/>
              <w:overflowPunct/>
              <w:topLinePunct w:val="0"/>
              <w:autoSpaceDE/>
              <w:autoSpaceDN/>
              <w:bidi w:val="0"/>
              <w:adjustRightInd/>
              <w:snapToGrid/>
              <w:spacing w:line="560" w:lineRule="exact"/>
              <w:ind w:firstLine="392" w:firstLineChars="200"/>
              <w:jc w:val="center"/>
              <w:textAlignment w:val="auto"/>
              <w:outlineLvl w:val="9"/>
              <w:rPr>
                <w:rFonts w:hint="default" w:ascii="宋体" w:hAnsi="宋体" w:eastAsia="宋体" w:cs="宋体"/>
                <w:kern w:val="0"/>
                <w:sz w:val="20"/>
                <w:szCs w:val="20"/>
                <w:lang w:val="en-US" w:eastAsia="zh-CN" w:bidi="ar"/>
              </w:rPr>
            </w:pPr>
          </w:p>
        </w:tc>
        <w:tc>
          <w:tcPr>
            <w:tcW w:w="619" w:type="dxa"/>
            <w:vMerge w:val="continue"/>
            <w:vAlign w:val="center"/>
          </w:tcPr>
          <w:p>
            <w:pPr>
              <w:keepNext w:val="0"/>
              <w:keepLines w:val="0"/>
              <w:pageBreakBefore w:val="0"/>
              <w:widowControl w:val="0"/>
              <w:kinsoku/>
              <w:wordWrap/>
              <w:overflowPunct/>
              <w:topLinePunct w:val="0"/>
              <w:autoSpaceDE/>
              <w:autoSpaceDN/>
              <w:bidi w:val="0"/>
              <w:adjustRightInd/>
              <w:snapToGrid/>
              <w:spacing w:line="560" w:lineRule="exact"/>
              <w:ind w:firstLine="392" w:firstLineChars="200"/>
              <w:jc w:val="center"/>
              <w:textAlignment w:val="auto"/>
              <w:outlineLvl w:val="9"/>
              <w:rPr>
                <w:rFonts w:hint="default" w:ascii="宋体" w:hAnsi="宋体" w:eastAsia="宋体" w:cs="宋体"/>
                <w:kern w:val="0"/>
                <w:sz w:val="20"/>
                <w:szCs w:val="20"/>
                <w:lang w:val="en-US" w:eastAsia="zh-CN" w:bidi="ar"/>
              </w:rPr>
            </w:pPr>
          </w:p>
        </w:tc>
        <w:tc>
          <w:tcPr>
            <w:tcW w:w="619" w:type="dxa"/>
            <w:vMerge w:val="continue"/>
            <w:vAlign w:val="center"/>
          </w:tcPr>
          <w:p>
            <w:pPr>
              <w:keepNext w:val="0"/>
              <w:keepLines w:val="0"/>
              <w:pageBreakBefore w:val="0"/>
              <w:widowControl w:val="0"/>
              <w:kinsoku/>
              <w:wordWrap/>
              <w:overflowPunct/>
              <w:topLinePunct w:val="0"/>
              <w:autoSpaceDE/>
              <w:autoSpaceDN/>
              <w:bidi w:val="0"/>
              <w:adjustRightInd/>
              <w:snapToGrid/>
              <w:spacing w:line="560" w:lineRule="exact"/>
              <w:ind w:firstLine="392" w:firstLineChars="200"/>
              <w:jc w:val="center"/>
              <w:textAlignment w:val="auto"/>
              <w:outlineLvl w:val="9"/>
              <w:rPr>
                <w:rFonts w:hint="default" w:ascii="宋体" w:hAnsi="宋体" w:eastAsia="宋体" w:cs="宋体"/>
                <w:kern w:val="0"/>
                <w:sz w:val="20"/>
                <w:szCs w:val="20"/>
                <w:lang w:val="en-US" w:eastAsia="zh-CN" w:bidi="ar"/>
              </w:rPr>
            </w:pPr>
          </w:p>
        </w:tc>
        <w:tc>
          <w:tcPr>
            <w:tcW w:w="619"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right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19"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right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19"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right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19"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right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19"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right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总计</w:t>
            </w:r>
          </w:p>
        </w:tc>
        <w:tc>
          <w:tcPr>
            <w:tcW w:w="619"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right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19"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right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20"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right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20"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right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20"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right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0" w:hRule="atLeast"/>
          <w:jc w:val="center"/>
        </w:trPr>
        <w:tc>
          <w:tcPr>
            <w:tcW w:w="619" w:type="dxa"/>
            <w:vAlign w:val="center"/>
          </w:tcPr>
          <w:p>
            <w:pPr>
              <w:keepNext w:val="0"/>
              <w:keepLines w:val="0"/>
              <w:pageBreakBefore w:val="0"/>
              <w:widowControl w:val="0"/>
              <w:kinsoku/>
              <w:wordWrap/>
              <w:overflowPunct/>
              <w:topLinePunct w:val="0"/>
              <w:autoSpaceDE/>
              <w:autoSpaceDN/>
              <w:bidi w:val="0"/>
              <w:adjustRightInd/>
              <w:snapToGrid/>
              <w:spacing w:line="560" w:lineRule="exact"/>
              <w:ind w:firstLine="392" w:firstLineChars="20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560" w:lineRule="exact"/>
              <w:ind w:firstLine="392" w:firstLineChars="20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560" w:lineRule="exact"/>
              <w:ind w:firstLine="392" w:firstLineChars="20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560" w:lineRule="exact"/>
              <w:ind w:firstLine="392" w:firstLineChars="20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560" w:lineRule="exact"/>
              <w:ind w:firstLine="392" w:firstLineChars="20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560" w:lineRule="exact"/>
              <w:ind w:firstLine="392" w:firstLineChars="20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560" w:lineRule="exact"/>
              <w:ind w:firstLine="392" w:firstLineChars="20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560" w:lineRule="exact"/>
              <w:ind w:firstLine="392" w:firstLineChars="20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560" w:lineRule="exact"/>
              <w:ind w:firstLine="392" w:firstLineChars="20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560" w:lineRule="exact"/>
              <w:ind w:firstLine="392" w:firstLineChars="20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560" w:lineRule="exact"/>
              <w:ind w:firstLine="392" w:firstLineChars="20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560" w:lineRule="exact"/>
              <w:ind w:firstLine="392" w:firstLineChars="20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20" w:type="dxa"/>
            <w:vAlign w:val="center"/>
          </w:tcPr>
          <w:p>
            <w:pPr>
              <w:keepNext w:val="0"/>
              <w:keepLines w:val="0"/>
              <w:pageBreakBefore w:val="0"/>
              <w:widowControl w:val="0"/>
              <w:kinsoku/>
              <w:wordWrap/>
              <w:overflowPunct/>
              <w:topLinePunct w:val="0"/>
              <w:autoSpaceDE/>
              <w:autoSpaceDN/>
              <w:bidi w:val="0"/>
              <w:adjustRightInd/>
              <w:snapToGrid/>
              <w:spacing w:line="560" w:lineRule="exact"/>
              <w:ind w:firstLine="392" w:firstLineChars="20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20" w:type="dxa"/>
            <w:vAlign w:val="center"/>
          </w:tcPr>
          <w:p>
            <w:pPr>
              <w:keepNext w:val="0"/>
              <w:keepLines w:val="0"/>
              <w:pageBreakBefore w:val="0"/>
              <w:widowControl w:val="0"/>
              <w:kinsoku/>
              <w:wordWrap/>
              <w:overflowPunct/>
              <w:topLinePunct w:val="0"/>
              <w:autoSpaceDE/>
              <w:autoSpaceDN/>
              <w:bidi w:val="0"/>
              <w:adjustRightInd/>
              <w:snapToGrid/>
              <w:spacing w:line="560" w:lineRule="exact"/>
              <w:ind w:firstLine="392" w:firstLineChars="20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20" w:type="dxa"/>
            <w:vAlign w:val="center"/>
          </w:tcPr>
          <w:p>
            <w:pPr>
              <w:keepNext w:val="0"/>
              <w:keepLines w:val="0"/>
              <w:pageBreakBefore w:val="0"/>
              <w:widowControl w:val="0"/>
              <w:kinsoku/>
              <w:wordWrap/>
              <w:overflowPunct/>
              <w:topLinePunct w:val="0"/>
              <w:autoSpaceDE/>
              <w:autoSpaceDN/>
              <w:bidi w:val="0"/>
              <w:adjustRightInd/>
              <w:snapToGrid/>
              <w:spacing w:line="560" w:lineRule="exact"/>
              <w:ind w:firstLine="392" w:firstLineChars="20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outlineLvl w:val="9"/>
        <w:rPr>
          <w:rFonts w:hint="default" w:ascii="黑体" w:hAnsi="黑体" w:eastAsia="黑体" w:cs="黑体"/>
          <w:lang w:val="en-US" w:eastAsia="zh-CN"/>
        </w:rPr>
      </w:pPr>
      <w:r>
        <w:rPr>
          <w:rFonts w:hint="eastAsia" w:ascii="黑体" w:hAnsi="黑体" w:eastAsia="黑体" w:cs="黑体"/>
          <w:lang w:val="en-US" w:eastAsia="zh-CN"/>
        </w:rPr>
        <w:t>五、政府信息公开工作存在的主要问题及改进情况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2" w:firstLineChars="20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fill="FFFFFF"/>
        </w:rPr>
        <w:t>（一）信息化人员专业技术有待进一步提高。信息管理与维护工作非常重要，技术性要求高，信息化人员专业技术有待进一步提高。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2" w:firstLineChars="200"/>
        <w:jc w:val="left"/>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（二）建议上级部门加强政府信息公开工作的培训，不断提升规范化水平。针对存在的问题，我单位将继续把政府信息公开工作摆在重中之重的位置，对工作中存在的问题从以下方面进行整改：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2" w:firstLineChars="200"/>
        <w:jc w:val="left"/>
        <w:textAlignment w:val="auto"/>
        <w:rPr>
          <w:rFonts w:hint="eastAsia" w:ascii="仿宋_GB2312" w:hAnsi="仿宋_GB2312" w:eastAsia="仿宋_GB2312" w:cs="仿宋_GB2312"/>
          <w:i w:val="0"/>
          <w:iCs w:val="0"/>
          <w:caps w:val="0"/>
          <w:color w:val="auto"/>
          <w:spacing w:val="0"/>
          <w:sz w:val="32"/>
          <w:szCs w:val="32"/>
          <w:shd w:val="clear" w:fill="FFFFFF"/>
          <w:lang w:eastAsia="zh-CN"/>
        </w:rPr>
      </w:pPr>
      <w:r>
        <w:rPr>
          <w:rFonts w:hint="eastAsia" w:ascii="仿宋_GB2312" w:hAnsi="仿宋_GB2312" w:eastAsia="仿宋_GB2312" w:cs="仿宋_GB2312"/>
          <w:i w:val="0"/>
          <w:iCs w:val="0"/>
          <w:caps w:val="0"/>
          <w:color w:val="auto"/>
          <w:spacing w:val="0"/>
          <w:sz w:val="32"/>
          <w:szCs w:val="32"/>
          <w:shd w:val="clear" w:fill="FFFFFF"/>
        </w:rPr>
        <w:t>一是加大宣传力度，努力营造政府信息公开的良好氛围。开展多种形式的宣传活动，让更多的人员了解政府信息公开的情况</w:t>
      </w:r>
      <w:r>
        <w:rPr>
          <w:rFonts w:hint="eastAsia" w:ascii="仿宋_GB2312" w:hAnsi="仿宋_GB2312" w:eastAsia="仿宋_GB2312" w:cs="仿宋_GB2312"/>
          <w:i w:val="0"/>
          <w:iCs w:val="0"/>
          <w:caps w:val="0"/>
          <w:color w:val="auto"/>
          <w:spacing w:val="0"/>
          <w:sz w:val="32"/>
          <w:szCs w:val="32"/>
          <w:shd w:val="clear" w:fill="FFFFFF"/>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2" w:firstLineChars="200"/>
        <w:jc w:val="left"/>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二是加大公开力度，切实丰富政府信息公开的内容。按照政府信息公开工作的要求，加强与窗口单位联系，努力做到政府信息公开的内容不断充实和完善。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2" w:firstLineChars="200"/>
        <w:jc w:val="left"/>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三是加大创新力度，不断拓宽政府信息公开渠道。充分利用网站，建立与社会和公众信息公开工作的交流和沟通渠道，同时通过政府门户网站、微博、微信公众平台，探索利用访谈、直播等形式，及时公开政府信息，扩大政府信息公开的覆盖面。广泛听取群众的意见与建议，把人民群众普遍关心、涉及群众利益的政府信息作为公开的重点内容予以公开。</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outlineLvl w:val="9"/>
        <w:rPr>
          <w:rFonts w:hint="default" w:ascii="黑体" w:hAnsi="黑体" w:eastAsia="黑体" w:cs="黑体"/>
          <w:lang w:val="en-US" w:eastAsia="zh-CN"/>
        </w:rPr>
      </w:pPr>
      <w:r>
        <w:rPr>
          <w:rFonts w:hint="eastAsia" w:ascii="黑体" w:hAnsi="黑体" w:eastAsia="黑体" w:cs="黑体"/>
          <w:lang w:val="en-US" w:eastAsia="zh-CN"/>
        </w:rPr>
        <w:t>六、其他需要报告的事项</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outlineLvl w:val="9"/>
        <w:rPr>
          <w:rFonts w:hint="default" w:ascii="仿宋" w:hAnsi="仿宋" w:eastAsia="仿宋_GB2312" w:cs="仿宋"/>
          <w:lang w:val="en-US" w:eastAsia="zh-CN"/>
        </w:rPr>
      </w:pPr>
      <w:r>
        <w:rPr>
          <w:rFonts w:hint="eastAsia" w:ascii="仿宋" w:hAnsi="仿宋" w:eastAsia="仿宋_GB2312" w:cs="仿宋"/>
          <w:lang w:val="en-US" w:eastAsia="zh-CN"/>
        </w:rPr>
        <w:t>无</w:t>
      </w:r>
    </w:p>
    <w:sectPr>
      <w:footerReference r:id="rId3" w:type="default"/>
      <w:pgSz w:w="11906" w:h="16838"/>
      <w:pgMar w:top="1417" w:right="1417" w:bottom="1417" w:left="1417" w:header="907" w:footer="907" w:gutter="0"/>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hint="eastAsia" w:ascii="宋体" w:hAnsi="宋体" w:eastAsia="宋体" w:cs="宋体"/>
        <w:sz w:val="28"/>
        <w:szCs w:val="28"/>
        <w:lang w:val="en-US" w:eastAsia="zh-CN"/>
      </w:rPr>
    </w:pPr>
    <w:r>
      <w:rPr>
        <w:rFonts w:hint="eastAsia" w:ascii="宋体" w:hAnsi="宋体" w:eastAsia="宋体" w:cs="宋体"/>
        <w:kern w:val="0"/>
        <w:sz w:val="28"/>
        <w:szCs w:val="28"/>
        <w:lang w:val="en-US" w:eastAsia="zh-CN"/>
      </w:rPr>
      <w:t>-</w:t>
    </w:r>
    <w:r>
      <w:rPr>
        <w:rFonts w:hint="eastAsia" w:ascii="宋体" w:hAnsi="宋体" w:eastAsia="宋体" w:cs="宋体"/>
        <w:kern w:val="0"/>
        <w:sz w:val="28"/>
        <w:szCs w:val="28"/>
      </w:rPr>
      <w:t xml:space="preserve"> </w:t>
    </w:r>
    <w:r>
      <w:rPr>
        <w:rFonts w:hint="eastAsia" w:ascii="宋体" w:hAnsi="宋体" w:eastAsia="宋体" w:cs="宋体"/>
        <w:kern w:val="0"/>
        <w:sz w:val="28"/>
        <w:szCs w:val="28"/>
        <w:lang w:val="zh-CN"/>
      </w:rPr>
      <w:fldChar w:fldCharType="begin"/>
    </w:r>
    <w:r>
      <w:rPr>
        <w:rFonts w:hint="eastAsia" w:ascii="宋体" w:hAnsi="宋体" w:eastAsia="宋体" w:cs="宋体"/>
        <w:kern w:val="0"/>
        <w:sz w:val="28"/>
        <w:szCs w:val="28"/>
        <w:lang w:val="zh-CN"/>
      </w:rPr>
      <w:instrText xml:space="preserve"> PAGE </w:instrText>
    </w:r>
    <w:r>
      <w:rPr>
        <w:rFonts w:hint="eastAsia" w:ascii="宋体" w:hAnsi="宋体" w:eastAsia="宋体" w:cs="宋体"/>
        <w:kern w:val="0"/>
        <w:sz w:val="28"/>
        <w:szCs w:val="28"/>
        <w:lang w:val="zh-CN"/>
      </w:rPr>
      <w:fldChar w:fldCharType="separate"/>
    </w:r>
    <w:r>
      <w:rPr>
        <w:rFonts w:hint="eastAsia" w:ascii="宋体" w:hAnsi="宋体" w:eastAsia="宋体" w:cs="宋体"/>
        <w:kern w:val="0"/>
        <w:sz w:val="28"/>
        <w:szCs w:val="28"/>
        <w:lang w:val="zh-CN"/>
      </w:rPr>
      <w:t>1</w:t>
    </w:r>
    <w:r>
      <w:rPr>
        <w:rFonts w:hint="eastAsia" w:ascii="宋体" w:hAnsi="宋体" w:eastAsia="宋体" w:cs="宋体"/>
        <w:kern w:val="0"/>
        <w:sz w:val="28"/>
        <w:szCs w:val="28"/>
        <w:lang w:val="zh-CN"/>
      </w:rPr>
      <w:fldChar w:fldCharType="end"/>
    </w:r>
    <w:r>
      <w:rPr>
        <w:rFonts w:hint="eastAsia" w:ascii="宋体" w:hAnsi="宋体" w:eastAsia="宋体" w:cs="宋体"/>
        <w:kern w:val="0"/>
        <w:sz w:val="28"/>
        <w:szCs w:val="28"/>
      </w:rPr>
      <w:t xml:space="preserve"> </w:t>
    </w:r>
    <w:r>
      <w:rPr>
        <w:rFonts w:hint="eastAsia" w:ascii="宋体" w:hAnsi="宋体" w:eastAsia="宋体" w:cs="宋体"/>
        <w:kern w:val="0"/>
        <w:sz w:val="28"/>
        <w:szCs w:val="28"/>
        <w:lang w:val="en-US" w:eastAsia="zh-CN"/>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attachedTemplate r:id="rId1"/>
  <w:documentProtection w:enforcement="0"/>
  <w:defaultTabStop w:val="420"/>
  <w:drawingGridHorizontalSpacing w:val="158"/>
  <w:drawingGridVerticalSpacing w:val="29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5A4352"/>
    <w:rsid w:val="07F4584C"/>
    <w:rsid w:val="0BED0BAC"/>
    <w:rsid w:val="105A4352"/>
    <w:rsid w:val="206207B8"/>
    <w:rsid w:val="254F7E52"/>
    <w:rsid w:val="2C27513E"/>
    <w:rsid w:val="3626248B"/>
    <w:rsid w:val="37D50499"/>
    <w:rsid w:val="3A4D6E28"/>
    <w:rsid w:val="4079646E"/>
    <w:rsid w:val="41605AC0"/>
    <w:rsid w:val="4A6C6248"/>
    <w:rsid w:val="51771504"/>
    <w:rsid w:val="63604736"/>
    <w:rsid w:val="68C03E7D"/>
    <w:rsid w:val="6CD60491"/>
    <w:rsid w:val="6F377CED"/>
    <w:rsid w:val="71C051BF"/>
    <w:rsid w:val="75D021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asciiTheme="minorHAnsi" w:hAnsiTheme="minorHAnsi" w:cstheme="minorBidi"/>
      <w:kern w:val="2"/>
      <w:sz w:val="32"/>
      <w:szCs w:val="32"/>
      <w:lang w:val="en-US" w:eastAsia="zh-CN" w:bidi="ar-SA"/>
    </w:rPr>
  </w:style>
  <w:style w:type="character" w:default="1" w:styleId="7">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12304;&#20449;&#24687;&#20844;&#24320;&#24180;&#24230;&#25253;&#21578;&#12305;\&#12304;&#27169;&#26495;&#12305;&#27167;&#26641;&#24066;XXXX2021&#24180;&#25919;&#24220;&#20449;&#24687;&#20844;&#24320;&#24037;&#20316;&#24180;&#24230;&#25253;&#21578;.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【模板】樟树市XXXX2021年政府信息公开工作年度报告.dotx</Template>
  <Pages>7</Pages>
  <Words>2695</Words>
  <Characters>2804</Characters>
  <Lines>0</Lines>
  <Paragraphs>0</Paragraphs>
  <TotalTime>78</TotalTime>
  <ScaleCrop>false</ScaleCrop>
  <LinksUpToDate>false</LinksUpToDate>
  <CharactersWithSpaces>2807</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2021-12-23T00:52:00Z</dcterms:created>
  <dc:creator>Administrator</dc:creator>
  <cp:lastModifiedBy>Administrator</cp:lastModifiedBy>
  <dcterms:modified xsi:type="dcterms:W3CDTF">2022-01-29T03:05:27Z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A53FB1D2BEDE4D21B175F99318B8FC38</vt:lpwstr>
  </property>
</Properties>
</file>