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292" w:beforeLines="50" w:line="6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樟树市</w:t>
      </w:r>
      <w:r>
        <w:rPr>
          <w:rFonts w:hint="eastAsia" w:ascii="方正小标宋简体" w:hAnsi="方正小标宋简体" w:eastAsia="方正小标宋简体" w:cs="方正小标宋简体"/>
          <w:kern w:val="2"/>
          <w:sz w:val="44"/>
          <w:szCs w:val="44"/>
          <w:lang w:eastAsia="zh-CN"/>
        </w:rPr>
        <w:t>医疗保障局</w:t>
      </w:r>
      <w:r>
        <w:rPr>
          <w:rFonts w:hint="eastAsia" w:ascii="方正小标宋简体" w:hAnsi="方正小标宋简体" w:eastAsia="方正小标宋简体" w:cs="方正小标宋简体"/>
          <w:sz w:val="44"/>
          <w:szCs w:val="44"/>
          <w:lang w:val="en-US" w:eastAsia="zh-CN"/>
        </w:rPr>
        <w:t>2021年政府信息公开工作</w:t>
      </w:r>
    </w:p>
    <w:p>
      <w:pPr>
        <w:keepNext w:val="0"/>
        <w:keepLines w:val="0"/>
        <w:pageBreakBefore w:val="0"/>
        <w:widowControl w:val="0"/>
        <w:kinsoku/>
        <w:wordWrap/>
        <w:overflowPunct/>
        <w:topLinePunct w:val="0"/>
        <w:autoSpaceDE/>
        <w:autoSpaceDN/>
        <w:bidi w:val="0"/>
        <w:adjustRightInd/>
        <w:snapToGrid/>
        <w:spacing w:after="292" w:afterLines="50" w:line="660" w:lineRule="exact"/>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年度报告</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eastAsia" w:ascii="仿宋" w:hAnsi="仿宋" w:eastAsia="仿宋_GB2312" w:cs="仿宋"/>
          <w:lang w:val="en-US" w:eastAsia="zh-CN"/>
        </w:rPr>
      </w:pPr>
      <w:r>
        <w:rPr>
          <w:rFonts w:hint="eastAsia" w:ascii="仿宋" w:hAnsi="仿宋" w:eastAsia="仿宋_GB2312" w:cs="仿宋"/>
          <w:lang w:val="en-US" w:eastAsia="zh-CN"/>
        </w:rPr>
        <w:t>本报告依据《中华人民共和国政府信息公开条例》（国务院令第711号，以下简称新《条例》）和《国务院办公厅政府信息与政务公开办公室关于政府信息公开工作年度报告有关事项的通知》（国办公开办函〔2019〕60号）要求，由</w:t>
      </w:r>
      <w:r>
        <w:rPr>
          <w:rFonts w:hint="eastAsia" w:ascii="仿宋" w:hAnsi="仿宋" w:eastAsia="仿宋_GB2312" w:cs="仿宋"/>
          <w:highlight w:val="none"/>
          <w:lang w:val="en-US" w:eastAsia="zh-CN"/>
        </w:rPr>
        <w:t>樟树市医疗保障局</w:t>
      </w:r>
      <w:r>
        <w:rPr>
          <w:rFonts w:hint="eastAsia" w:ascii="仿宋" w:hAnsi="仿宋" w:eastAsia="仿宋_GB2312" w:cs="仿宋"/>
          <w:lang w:val="en-US" w:eastAsia="zh-CN"/>
        </w:rPr>
        <w:t>结合樟树市人民政府网站、樟树市政府信息公开平台等有关统计数据编制。本年度报告中所列数据的统计期限自2021年1月1日起至2021年12月31日止。全文包括总体情况，行政机关主动公开政府信息情况，行政机关收到和处理政府信息公开申请情况，因政府信息公开工作被申请行政复议、提起行政诉讼情况，政府信息公开工作存在的主要问题及改进情况，其他需要报告的事项共六部分组成。本年度报告的电子版可以从樟树市人民政府网站（http://www.zhangshu.gov.cn）下载。如对本报告有任何疑问，请与</w:t>
      </w:r>
      <w:r>
        <w:rPr>
          <w:rFonts w:hint="eastAsia" w:ascii="仿宋" w:hAnsi="仿宋" w:eastAsia="仿宋_GB2312" w:cs="仿宋"/>
          <w:highlight w:val="none"/>
          <w:lang w:val="en-US" w:eastAsia="zh-CN"/>
        </w:rPr>
        <w:t>樟树市医疗保障局</w:t>
      </w:r>
      <w:r>
        <w:rPr>
          <w:rFonts w:hint="eastAsia" w:ascii="仿宋" w:hAnsi="仿宋" w:eastAsia="仿宋_GB2312" w:cs="仿宋"/>
          <w:lang w:val="en-US" w:eastAsia="zh-CN"/>
        </w:rPr>
        <w:t>联系（</w:t>
      </w:r>
      <w:r>
        <w:rPr>
          <w:rFonts w:hint="eastAsia" w:ascii="仿宋_GB2312" w:hAnsi="仿宋_GB2312" w:eastAsia="仿宋_GB2312" w:cs="仿宋_GB2312"/>
          <w:sz w:val="32"/>
          <w:szCs w:val="32"/>
        </w:rPr>
        <w:t>地址：樟树市</w:t>
      </w:r>
      <w:r>
        <w:rPr>
          <w:rFonts w:hint="eastAsia" w:ascii="仿宋_GB2312" w:hAnsi="仿宋_GB2312" w:eastAsia="仿宋_GB2312" w:cs="仿宋_GB2312"/>
          <w:sz w:val="32"/>
          <w:szCs w:val="32"/>
          <w:lang w:eastAsia="zh-CN"/>
        </w:rPr>
        <w:t>药都南大道</w:t>
      </w:r>
      <w:r>
        <w:rPr>
          <w:rFonts w:hint="eastAsia" w:ascii="仿宋_GB2312" w:hAnsi="仿宋_GB2312" w:eastAsia="仿宋_GB2312" w:cs="仿宋_GB2312"/>
          <w:sz w:val="32"/>
          <w:szCs w:val="32"/>
          <w:lang w:val="en-US" w:eastAsia="zh-CN"/>
        </w:rPr>
        <w:t>60号</w:t>
      </w:r>
      <w:r>
        <w:rPr>
          <w:rFonts w:hint="eastAsia" w:ascii="仿宋_GB2312" w:hAnsi="仿宋_GB2312" w:eastAsia="仿宋_GB2312" w:cs="仿宋_GB2312"/>
          <w:sz w:val="32"/>
          <w:szCs w:val="32"/>
        </w:rPr>
        <w:t>，电话：0795</w:t>
      </w:r>
      <w:r>
        <w:rPr>
          <w:rFonts w:hint="eastAsia" w:ascii="仿宋_GB2312" w:hAnsi="仿宋_GB2312" w:eastAsia="仿宋_GB2312" w:cs="仿宋_GB2312"/>
          <w:sz w:val="32"/>
          <w:szCs w:val="32"/>
          <w:lang w:val="en-US" w:eastAsia="zh-CN"/>
        </w:rPr>
        <w:t>-7777991</w:t>
      </w:r>
      <w:r>
        <w:rPr>
          <w:rFonts w:hint="eastAsia" w:ascii="仿宋_GB2312" w:hAnsi="仿宋_GB2312" w:eastAsia="仿宋_GB2312" w:cs="仿宋_GB2312"/>
          <w:sz w:val="32"/>
          <w:szCs w:val="32"/>
        </w:rPr>
        <w:t>，邮编：331200</w:t>
      </w:r>
      <w:r>
        <w:rPr>
          <w:rFonts w:hint="eastAsia" w:ascii="仿宋" w:hAnsi="仿宋" w:eastAsia="仿宋_GB2312" w:cs="仿宋"/>
          <w:lang w:val="en-US" w:eastAsia="zh-CN"/>
        </w:rPr>
        <w:t>）。</w:t>
      </w:r>
    </w:p>
    <w:p>
      <w:pPr>
        <w:keepNext w:val="0"/>
        <w:keepLines w:val="0"/>
        <w:pageBreakBefore w:val="0"/>
        <w:widowControl w:val="0"/>
        <w:kinsoku/>
        <w:wordWrap/>
        <w:overflowPunct/>
        <w:topLinePunct w:val="0"/>
        <w:autoSpaceDE/>
        <w:autoSpaceDN/>
        <w:bidi w:val="0"/>
        <w:adjustRightInd/>
        <w:snapToGrid/>
        <w:spacing w:before="176" w:beforeLines="30" w:after="118" w:afterLines="20"/>
        <w:ind w:firstLine="632" w:firstLineChars="200"/>
        <w:textAlignment w:val="auto"/>
        <w:outlineLvl w:val="9"/>
        <w:rPr>
          <w:rFonts w:hint="eastAsia" w:ascii="黑体" w:hAnsi="黑体" w:eastAsia="黑体" w:cs="黑体"/>
          <w:lang w:val="en-US" w:eastAsia="zh-CN"/>
        </w:rPr>
      </w:pPr>
      <w:r>
        <w:rPr>
          <w:rFonts w:hint="eastAsia" w:ascii="黑体" w:hAnsi="黑体" w:eastAsia="黑体" w:cs="黑体"/>
          <w:lang w:val="en-US" w:eastAsia="zh-CN"/>
        </w:rPr>
        <w:t>一、总体情况</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none"/>
          <w:lang w:val="en-US" w:eastAsia="zh-CN"/>
        </w:rPr>
      </w:pPr>
      <w:r>
        <w:rPr>
          <w:rFonts w:hint="default" w:ascii="仿宋" w:hAnsi="仿宋" w:eastAsia="仿宋_GB2312" w:cs="仿宋"/>
          <w:highlight w:val="none"/>
          <w:lang w:val="en-US" w:eastAsia="zh-CN"/>
        </w:rPr>
        <w:t>2021年，我局以习近平新时代中国特色社会主义思想为指导，深入贯彻</w:t>
      </w:r>
      <w:r>
        <w:rPr>
          <w:rFonts w:hint="eastAsia" w:ascii="仿宋" w:hAnsi="仿宋" w:eastAsia="仿宋_GB2312" w:cs="仿宋"/>
          <w:highlight w:val="none"/>
          <w:lang w:val="en-US" w:eastAsia="zh-CN"/>
        </w:rPr>
        <w:t>落实</w:t>
      </w:r>
      <w:r>
        <w:rPr>
          <w:rFonts w:hint="default" w:ascii="仿宋" w:hAnsi="仿宋" w:eastAsia="仿宋_GB2312" w:cs="仿宋"/>
          <w:highlight w:val="none"/>
          <w:lang w:val="en-US" w:eastAsia="zh-CN"/>
        </w:rPr>
        <w:t>党的十九大和十九届二中、三中、四中、五中、六中全会精神，严格</w:t>
      </w:r>
      <w:r>
        <w:rPr>
          <w:rFonts w:hint="eastAsia" w:ascii="仿宋" w:hAnsi="仿宋" w:eastAsia="仿宋_GB2312" w:cs="仿宋"/>
          <w:highlight w:val="none"/>
          <w:lang w:val="en-US" w:eastAsia="zh-CN"/>
        </w:rPr>
        <w:t>按照</w:t>
      </w:r>
      <w:r>
        <w:rPr>
          <w:rFonts w:hint="default" w:ascii="仿宋" w:hAnsi="仿宋" w:eastAsia="仿宋_GB2312" w:cs="仿宋"/>
          <w:highlight w:val="none"/>
          <w:lang w:val="en-US" w:eastAsia="zh-CN"/>
        </w:rPr>
        <w:t>《中华人民共和国政府信息公开条例》</w:t>
      </w:r>
      <w:r>
        <w:rPr>
          <w:rFonts w:hint="eastAsia" w:ascii="仿宋" w:hAnsi="仿宋" w:eastAsia="仿宋_GB2312" w:cs="仿宋"/>
          <w:highlight w:val="none"/>
          <w:lang w:val="en-US" w:eastAsia="zh-CN"/>
        </w:rPr>
        <w:t>、</w:t>
      </w:r>
      <w:r>
        <w:rPr>
          <w:rFonts w:hint="default" w:ascii="仿宋" w:hAnsi="仿宋" w:eastAsia="仿宋_GB2312" w:cs="仿宋"/>
          <w:highlight w:val="none"/>
          <w:lang w:val="en-US" w:eastAsia="zh-CN"/>
        </w:rPr>
        <w:t>《国务院办公厅印发〈关于全面推进政务公开工作的意见〉实施细则的通知》（国办发〔2016〕80号）</w:t>
      </w:r>
      <w:r>
        <w:rPr>
          <w:rFonts w:hint="eastAsia" w:ascii="仿宋" w:hAnsi="仿宋" w:eastAsia="仿宋_GB2312" w:cs="仿宋"/>
          <w:highlight w:val="none"/>
          <w:lang w:val="en-US" w:eastAsia="zh-CN"/>
        </w:rPr>
        <w:t>等</w:t>
      </w:r>
      <w:r>
        <w:rPr>
          <w:rFonts w:hint="default" w:ascii="仿宋" w:hAnsi="仿宋" w:eastAsia="仿宋_GB2312" w:cs="仿宋"/>
          <w:highlight w:val="none"/>
          <w:lang w:val="en-US" w:eastAsia="zh-CN"/>
        </w:rPr>
        <w:t>要求</w:t>
      </w:r>
      <w:r>
        <w:rPr>
          <w:rFonts w:hint="eastAsia" w:ascii="仿宋" w:hAnsi="仿宋" w:eastAsia="仿宋_GB2312" w:cs="仿宋"/>
          <w:highlight w:val="none"/>
          <w:lang w:val="en-US" w:eastAsia="zh-CN"/>
        </w:rPr>
        <w:t>，</w:t>
      </w:r>
      <w:r>
        <w:rPr>
          <w:rFonts w:hint="default" w:ascii="仿宋" w:hAnsi="仿宋" w:eastAsia="仿宋_GB2312" w:cs="仿宋"/>
          <w:highlight w:val="none"/>
          <w:lang w:val="en-US" w:eastAsia="zh-CN"/>
        </w:rPr>
        <w:t>结合医疗保障领域的工作实际和职责定位，在满足社会群众、服务对象知情权、监督权和参与权的同时，不断提升政府信息公开常态化、标准化、规范化水平，</w:t>
      </w:r>
      <w:r>
        <w:rPr>
          <w:rFonts w:hint="eastAsia" w:ascii="仿宋" w:hAnsi="仿宋" w:eastAsia="仿宋_GB2312" w:cs="仿宋"/>
          <w:highlight w:val="none"/>
          <w:lang w:val="en-US" w:eastAsia="zh-CN"/>
        </w:rPr>
        <w:t>持续</w:t>
      </w:r>
      <w:r>
        <w:rPr>
          <w:rFonts w:hint="default" w:ascii="仿宋" w:hAnsi="仿宋" w:eastAsia="仿宋_GB2312" w:cs="仿宋"/>
          <w:highlight w:val="none"/>
          <w:lang w:val="en-US" w:eastAsia="zh-CN"/>
        </w:rPr>
        <w:t>做好政府信息公开工作。</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eastAsia" w:ascii="楷体" w:hAnsi="楷体" w:eastAsia="楷体" w:cs="楷体"/>
          <w:b/>
          <w:bCs/>
          <w:lang w:val="en-US" w:eastAsia="zh-CN"/>
        </w:rPr>
      </w:pPr>
      <w:r>
        <w:rPr>
          <w:rFonts w:hint="eastAsia" w:ascii="楷体" w:hAnsi="楷体" w:eastAsia="楷体" w:cs="楷体"/>
          <w:b/>
          <w:bCs/>
          <w:lang w:val="en-US" w:eastAsia="zh-CN"/>
        </w:rPr>
        <w:t>(一)主动公开</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cyan"/>
          <w:lang w:val="en-US" w:eastAsia="zh-CN"/>
        </w:rPr>
      </w:pPr>
      <w:r>
        <w:rPr>
          <w:rFonts w:hint="eastAsia" w:ascii="仿宋" w:hAnsi="仿宋" w:eastAsia="仿宋_GB2312" w:cs="仿宋"/>
          <w:highlight w:val="none"/>
          <w:lang w:val="en-US" w:eastAsia="zh-CN"/>
        </w:rPr>
        <w:t>2021年，我局主动公开信息50条，其中决策公开3条、执行公开（重点领域信息公开）1条、管理公开2条、服务公开12</w:t>
      </w:r>
      <w:bookmarkStart w:id="1" w:name="_GoBack"/>
      <w:bookmarkEnd w:id="1"/>
      <w:r>
        <w:rPr>
          <w:rFonts w:hint="eastAsia" w:ascii="仿宋" w:hAnsi="仿宋" w:eastAsia="仿宋_GB2312" w:cs="仿宋"/>
          <w:highlight w:val="none"/>
          <w:lang w:val="en-US" w:eastAsia="zh-CN"/>
        </w:rPr>
        <w:t>条、结果公开1条。</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eastAsia" w:ascii="楷体" w:hAnsi="楷体" w:eastAsia="楷体" w:cs="楷体"/>
          <w:b/>
          <w:bCs/>
          <w:lang w:val="en-US" w:eastAsia="zh-CN"/>
        </w:rPr>
      </w:pPr>
      <w:r>
        <w:rPr>
          <w:rFonts w:hint="eastAsia" w:ascii="楷体" w:hAnsi="楷体" w:eastAsia="楷体" w:cs="楷体"/>
          <w:b/>
          <w:bCs/>
          <w:lang w:val="en-US" w:eastAsia="zh-CN"/>
        </w:rPr>
        <w:t>(二)依申请公开</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cyan"/>
          <w:lang w:val="en-US" w:eastAsia="zh-CN"/>
        </w:rPr>
      </w:pPr>
      <w:r>
        <w:rPr>
          <w:rFonts w:hint="default" w:ascii="仿宋" w:hAnsi="仿宋" w:eastAsia="仿宋_GB2312" w:cs="仿宋"/>
          <w:highlight w:val="none"/>
          <w:lang w:val="en-US" w:eastAsia="zh-CN"/>
        </w:rPr>
        <w:t>2021年我局未收到依申请公开申请。</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楷体" w:hAnsi="楷体" w:eastAsia="楷体" w:cs="楷体"/>
          <w:b/>
          <w:bCs/>
          <w:lang w:val="en-US" w:eastAsia="zh-CN"/>
        </w:rPr>
      </w:pPr>
      <w:r>
        <w:rPr>
          <w:rFonts w:hint="eastAsia" w:ascii="楷体" w:hAnsi="楷体" w:eastAsia="楷体" w:cs="楷体"/>
          <w:b/>
          <w:bCs/>
          <w:lang w:val="en-US" w:eastAsia="zh-CN"/>
        </w:rPr>
        <w:t>(三)政府信息管理</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color w:val="auto"/>
          <w:highlight w:val="none"/>
          <w:lang w:val="en-US" w:eastAsia="zh-CN"/>
        </w:rPr>
      </w:pPr>
      <w:r>
        <w:rPr>
          <w:rFonts w:hint="default" w:ascii="仿宋" w:hAnsi="仿宋" w:eastAsia="仿宋_GB2312" w:cs="仿宋"/>
          <w:color w:val="auto"/>
          <w:highlight w:val="none"/>
          <w:lang w:val="en-US" w:eastAsia="zh-CN"/>
        </w:rPr>
        <w:t>1、规范化标准化建设。坚持“标准引领、需求导向、依法依规、改革创新”原则，编制完成本级政务公开事项标准目录，实行政务过程和结果公开。</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cyan"/>
          <w:lang w:val="en-US" w:eastAsia="zh-CN"/>
        </w:rPr>
      </w:pPr>
      <w:r>
        <w:rPr>
          <w:rFonts w:hint="default" w:ascii="仿宋" w:hAnsi="仿宋" w:eastAsia="仿宋_GB2312" w:cs="仿宋"/>
          <w:highlight w:val="none"/>
          <w:lang w:val="en-US" w:eastAsia="zh-CN"/>
        </w:rPr>
        <w:t>2、数字化管理（加大数据公开力度）。202</w:t>
      </w:r>
      <w:r>
        <w:rPr>
          <w:rFonts w:hint="eastAsia" w:ascii="仿宋" w:hAnsi="仿宋" w:eastAsia="仿宋_GB2312" w:cs="仿宋"/>
          <w:highlight w:val="none"/>
          <w:lang w:val="en-US" w:eastAsia="zh-CN"/>
        </w:rPr>
        <w:t>1</w:t>
      </w:r>
      <w:r>
        <w:rPr>
          <w:rFonts w:hint="default" w:ascii="仿宋" w:hAnsi="仿宋" w:eastAsia="仿宋_GB2312" w:cs="仿宋"/>
          <w:highlight w:val="none"/>
          <w:lang w:val="en-US" w:eastAsia="zh-CN"/>
        </w:rPr>
        <w:t>年，我局加大数据公开力度。信息披露了202</w:t>
      </w:r>
      <w:r>
        <w:rPr>
          <w:rFonts w:hint="eastAsia" w:ascii="仿宋" w:hAnsi="仿宋" w:eastAsia="仿宋_GB2312" w:cs="仿宋"/>
          <w:highlight w:val="none"/>
          <w:lang w:val="en-US" w:eastAsia="zh-CN"/>
        </w:rPr>
        <w:t>0</w:t>
      </w:r>
      <w:r>
        <w:rPr>
          <w:rFonts w:hint="default" w:ascii="仿宋" w:hAnsi="仿宋" w:eastAsia="仿宋_GB2312" w:cs="仿宋"/>
          <w:highlight w:val="none"/>
          <w:lang w:val="en-US" w:eastAsia="zh-CN"/>
        </w:rPr>
        <w:t>年部门</w:t>
      </w:r>
      <w:r>
        <w:rPr>
          <w:rFonts w:hint="eastAsia" w:ascii="仿宋" w:hAnsi="仿宋" w:eastAsia="仿宋_GB2312" w:cs="仿宋"/>
          <w:highlight w:val="none"/>
          <w:lang w:val="en-US" w:eastAsia="zh-CN"/>
        </w:rPr>
        <w:t>决</w:t>
      </w:r>
      <w:r>
        <w:rPr>
          <w:rFonts w:hint="default" w:ascii="仿宋" w:hAnsi="仿宋" w:eastAsia="仿宋_GB2312" w:cs="仿宋"/>
          <w:highlight w:val="none"/>
          <w:lang w:val="en-US" w:eastAsia="zh-CN"/>
        </w:rPr>
        <w:t>算、2021年部门预算等。</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none"/>
          <w:lang w:val="en-US" w:eastAsia="zh-CN"/>
        </w:rPr>
      </w:pPr>
      <w:r>
        <w:rPr>
          <w:rFonts w:hint="default" w:ascii="仿宋" w:hAnsi="仿宋" w:eastAsia="仿宋_GB2312" w:cs="仿宋"/>
          <w:highlight w:val="none"/>
          <w:lang w:val="en-US" w:eastAsia="zh-CN"/>
        </w:rPr>
        <w:t>3、规范信息审核发布机制。制定本单位信息发布审核制度，明确由</w:t>
      </w:r>
      <w:r>
        <w:rPr>
          <w:rFonts w:hint="eastAsia" w:ascii="仿宋" w:hAnsi="仿宋" w:eastAsia="仿宋_GB2312" w:cs="仿宋"/>
          <w:highlight w:val="none"/>
          <w:lang w:val="en-US" w:eastAsia="zh-CN"/>
        </w:rPr>
        <w:t>科室负责人</w:t>
      </w:r>
      <w:r>
        <w:rPr>
          <w:rFonts w:hint="default" w:ascii="仿宋" w:hAnsi="仿宋" w:eastAsia="仿宋_GB2312" w:cs="仿宋"/>
          <w:highlight w:val="none"/>
          <w:lang w:val="en-US" w:eastAsia="zh-CN"/>
        </w:rPr>
        <w:t>、分管领导、局领导逐级审核发布，做好公开信息基础要素的核对校验，确保信息内容规范、完整、有效。</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eastAsia" w:ascii="楷体" w:hAnsi="楷体" w:eastAsia="楷体" w:cs="楷体"/>
          <w:b/>
          <w:bCs/>
          <w:lang w:val="en-US" w:eastAsia="zh-CN"/>
        </w:rPr>
      </w:pPr>
      <w:r>
        <w:rPr>
          <w:rFonts w:hint="eastAsia" w:ascii="楷体" w:hAnsi="楷体" w:eastAsia="楷体" w:cs="楷体"/>
          <w:b/>
          <w:bCs/>
          <w:lang w:val="en-US" w:eastAsia="zh-CN"/>
        </w:rPr>
        <w:t>(四)政府信息公开平台建设</w:t>
      </w:r>
    </w:p>
    <w:p>
      <w:pPr>
        <w:pStyle w:val="2"/>
        <w:keepNext w:val="0"/>
        <w:keepLines w:val="0"/>
        <w:pageBreakBefore w:val="0"/>
        <w:widowControl w:val="0"/>
        <w:kinsoku/>
        <w:wordWrap/>
        <w:overflowPunct/>
        <w:topLinePunct w:val="0"/>
        <w:autoSpaceDE/>
        <w:autoSpaceDN/>
        <w:bidi w:val="0"/>
        <w:adjustRightInd/>
        <w:snapToGrid/>
        <w:ind w:left="0" w:leftChars="0" w:firstLine="632" w:firstLineChars="200"/>
        <w:textAlignment w:val="auto"/>
        <w:outlineLvl w:val="9"/>
        <w:rPr>
          <w:rFonts w:hint="default"/>
          <w:lang w:val="en-US" w:eastAsia="zh-CN"/>
        </w:rPr>
      </w:pPr>
      <w:r>
        <w:rPr>
          <w:rFonts w:hint="eastAsia" w:ascii="仿宋" w:hAnsi="仿宋" w:eastAsia="仿宋_GB2312" w:cs="仿宋"/>
          <w:kern w:val="2"/>
          <w:sz w:val="32"/>
          <w:szCs w:val="32"/>
          <w:highlight w:val="none"/>
          <w:lang w:val="en-US" w:eastAsia="zh-CN" w:bidi="ar-SA"/>
        </w:rPr>
        <w:t>20</w:t>
      </w:r>
      <w:r>
        <w:rPr>
          <w:rFonts w:hint="eastAsia" w:ascii="仿宋" w:hAnsi="仿宋" w:eastAsia="仿宋_GB2312" w:cs="仿宋"/>
          <w:kern w:val="2"/>
          <w:sz w:val="32"/>
          <w:szCs w:val="32"/>
          <w:highlight w:val="none"/>
          <w:lang w:val="en-US" w:eastAsia="zh-CN" w:bidi="ar-SA"/>
        </w:rPr>
        <w:t>21年，</w:t>
      </w:r>
      <w:r>
        <w:rPr>
          <w:rFonts w:hint="eastAsia"/>
          <w:lang w:val="en-US" w:eastAsia="zh-CN"/>
        </w:rPr>
        <w:t>我局在</w:t>
      </w:r>
      <w:r>
        <w:rPr>
          <w:rFonts w:hint="default"/>
          <w:lang w:val="en-US" w:eastAsia="zh-CN"/>
        </w:rPr>
        <w:t>规范管理系统栏目</w:t>
      </w:r>
      <w:r>
        <w:rPr>
          <w:rFonts w:hint="eastAsia"/>
          <w:lang w:val="en-US" w:eastAsia="zh-CN"/>
        </w:rPr>
        <w:t>的基础上，</w:t>
      </w:r>
      <w:r>
        <w:rPr>
          <w:rFonts w:hint="default"/>
          <w:lang w:val="en-US" w:eastAsia="zh-CN"/>
        </w:rPr>
        <w:t>开辟了“基金监管”专栏</w:t>
      </w:r>
      <w:r>
        <w:rPr>
          <w:rFonts w:hint="eastAsia"/>
          <w:lang w:val="en-US" w:eastAsia="zh-CN"/>
        </w:rPr>
        <w:t>，用于发布“基金监管典型案例通报”。针对上级部门监测反馈的相关问题、建议及时进行修正和改进</w:t>
      </w:r>
      <w:r>
        <w:rPr>
          <w:rFonts w:hint="default"/>
          <w:lang w:val="en-US" w:eastAsia="zh-CN"/>
        </w:rPr>
        <w:t>。</w:t>
      </w:r>
      <w:r>
        <w:rPr>
          <w:rFonts w:hint="eastAsia"/>
          <w:lang w:val="en-US" w:eastAsia="zh-CN"/>
        </w:rPr>
        <w:t>根据上级精神，</w:t>
      </w:r>
      <w:r>
        <w:rPr>
          <w:rFonts w:hint="default"/>
          <w:lang w:val="en-US" w:eastAsia="zh-CN"/>
        </w:rPr>
        <w:t>我局</w:t>
      </w:r>
      <w:r>
        <w:rPr>
          <w:rFonts w:hint="eastAsia"/>
          <w:lang w:val="en-US" w:eastAsia="zh-CN"/>
        </w:rPr>
        <w:t>未单独建设</w:t>
      </w:r>
      <w:r>
        <w:rPr>
          <w:rFonts w:hint="default"/>
          <w:lang w:val="en-US" w:eastAsia="zh-CN"/>
        </w:rPr>
        <w:t>门户网站</w:t>
      </w:r>
      <w:r>
        <w:rPr>
          <w:rFonts w:hint="eastAsia"/>
          <w:lang w:val="en-US" w:eastAsia="zh-CN"/>
        </w:rPr>
        <w:t>、微信公众号、微博等政务新媒体，</w:t>
      </w:r>
      <w:r>
        <w:rPr>
          <w:rFonts w:hint="default"/>
          <w:lang w:val="en-US" w:eastAsia="zh-CN"/>
        </w:rPr>
        <w:t>重要信息和公示均发布在樟树市人民政府网站。</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eastAsia" w:ascii="楷体" w:hAnsi="楷体" w:eastAsia="楷体" w:cs="楷体"/>
          <w:b/>
          <w:bCs/>
          <w:lang w:val="en-US" w:eastAsia="zh-CN"/>
        </w:rPr>
      </w:pPr>
      <w:r>
        <w:rPr>
          <w:rFonts w:hint="eastAsia" w:ascii="楷体" w:hAnsi="楷体" w:eastAsia="楷体" w:cs="楷体"/>
          <w:b/>
          <w:bCs/>
          <w:lang w:val="en-US" w:eastAsia="zh-CN"/>
        </w:rPr>
        <w:t>(五)监督保障</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none"/>
          <w:lang w:val="en-US" w:eastAsia="zh-CN"/>
        </w:rPr>
      </w:pPr>
      <w:r>
        <w:rPr>
          <w:rFonts w:hint="default" w:ascii="仿宋" w:hAnsi="仿宋" w:eastAsia="仿宋_GB2312" w:cs="仿宋"/>
          <w:highlight w:val="none"/>
          <w:lang w:val="en-US" w:eastAsia="zh-CN"/>
        </w:rPr>
        <w:t>1.工作考核</w:t>
      </w:r>
      <w:r>
        <w:rPr>
          <w:rFonts w:hint="eastAsia" w:ascii="仿宋" w:hAnsi="仿宋" w:eastAsia="仿宋_GB2312" w:cs="仿宋"/>
          <w:highlight w:val="none"/>
          <w:lang w:val="en-US" w:eastAsia="zh-CN"/>
        </w:rPr>
        <w:t>。我局以制度建设为抓手，加强日常管理维护，落实专门机构和人员，坚持做到常态化自查“工作动态”等栏目的更新时效，确保信息准确、要素齐全。</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none"/>
          <w:lang w:val="en-US" w:eastAsia="zh-CN"/>
        </w:rPr>
      </w:pPr>
      <w:r>
        <w:rPr>
          <w:rFonts w:hint="default" w:ascii="仿宋" w:hAnsi="仿宋" w:eastAsia="仿宋_GB2312" w:cs="仿宋"/>
          <w:highlight w:val="none"/>
          <w:lang w:val="en-US" w:eastAsia="zh-CN"/>
        </w:rPr>
        <w:t>2.社会评议和责任追究</w:t>
      </w:r>
      <w:r>
        <w:rPr>
          <w:rFonts w:hint="eastAsia" w:ascii="仿宋" w:hAnsi="仿宋" w:eastAsia="仿宋_GB2312" w:cs="仿宋"/>
          <w:highlight w:val="none"/>
          <w:lang w:val="en-US" w:eastAsia="zh-CN"/>
        </w:rPr>
        <w:t>。</w:t>
      </w:r>
      <w:r>
        <w:rPr>
          <w:rFonts w:hint="eastAsia" w:ascii="仿宋" w:hAnsi="仿宋" w:eastAsia="仿宋_GB2312" w:cs="仿宋"/>
          <w:highlight w:val="none"/>
          <w:lang w:val="en-US" w:eastAsia="zh-CN"/>
        </w:rPr>
        <w:t>我局通过多种方式和渠道广泛听取公民、法人和其他社会组织对政府信息公开工作的批评、意见和建议的活动。根据相关法律、法规，追究政府信息公开工作过错责任。</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default" w:ascii="仿宋" w:hAnsi="仿宋" w:eastAsia="仿宋_GB2312" w:cs="仿宋"/>
          <w:highlight w:val="none"/>
          <w:lang w:val="en-US" w:eastAsia="zh-CN"/>
        </w:rPr>
      </w:pPr>
      <w:r>
        <w:rPr>
          <w:rFonts w:hint="default" w:ascii="仿宋" w:hAnsi="仿宋" w:eastAsia="仿宋_GB2312" w:cs="仿宋"/>
          <w:highlight w:val="none"/>
          <w:lang w:val="en-US" w:eastAsia="zh-CN"/>
        </w:rPr>
        <w:t>3.组织领导、监督检查</w:t>
      </w:r>
      <w:r>
        <w:rPr>
          <w:rFonts w:hint="eastAsia" w:ascii="仿宋" w:hAnsi="仿宋" w:eastAsia="仿宋_GB2312" w:cs="仿宋"/>
          <w:highlight w:val="none"/>
          <w:lang w:val="en-US" w:eastAsia="zh-CN"/>
        </w:rPr>
        <w:t>。我局将网站建设作为提高服务效率、实施信息公开、促进信息化建设的重要内容抓紧抓实，主要领导亲自抓，分管领导直接抓，明确政府信息公开责任科室，构建常态化管理机制，保障政府信息公开工作的有序管理。</w:t>
      </w:r>
    </w:p>
    <w:p>
      <w:pPr>
        <w:keepNext w:val="0"/>
        <w:keepLines w:val="0"/>
        <w:pageBreakBefore w:val="0"/>
        <w:widowControl w:val="0"/>
        <w:kinsoku/>
        <w:wordWrap/>
        <w:overflowPunct/>
        <w:topLinePunct w:val="0"/>
        <w:autoSpaceDE/>
        <w:autoSpaceDN/>
        <w:bidi w:val="0"/>
        <w:adjustRightInd/>
        <w:snapToGrid/>
        <w:spacing w:before="176" w:beforeLines="30" w:after="118" w:afterLines="20"/>
        <w:ind w:firstLine="632" w:firstLineChars="200"/>
        <w:textAlignment w:val="auto"/>
        <w:outlineLvl w:val="9"/>
        <w:rPr>
          <w:rFonts w:hint="eastAsia" w:ascii="黑体" w:hAnsi="黑体" w:eastAsia="黑体" w:cs="黑体"/>
          <w:lang w:val="en-US" w:eastAsia="zh-CN"/>
        </w:rPr>
      </w:pPr>
      <w:r>
        <w:rPr>
          <w:rFonts w:hint="eastAsia" w:ascii="黑体" w:hAnsi="黑体" w:eastAsia="黑体" w:cs="黑体"/>
          <w:lang w:val="en-US" w:eastAsia="zh-CN"/>
        </w:rPr>
        <w:t>二、行政机关主动公开政府信息情况</w:t>
      </w:r>
    </w:p>
    <w:tbl>
      <w:tblPr>
        <w:tblStyle w:val="8"/>
        <w:tblW w:w="9039" w:type="dxa"/>
        <w:jc w:val="center"/>
        <w:tblInd w:w="424" w:type="dxa"/>
        <w:shd w:val="clear" w:color="auto" w:fill="auto"/>
        <w:tblLayout w:type="fixed"/>
        <w:tblCellMar>
          <w:top w:w="0" w:type="dxa"/>
          <w:left w:w="0" w:type="dxa"/>
          <w:bottom w:w="0" w:type="dxa"/>
          <w:right w:w="0" w:type="dxa"/>
        </w:tblCellMar>
      </w:tblPr>
      <w:tblGrid>
        <w:gridCol w:w="1734"/>
        <w:gridCol w:w="2435"/>
        <w:gridCol w:w="2435"/>
        <w:gridCol w:w="2435"/>
      </w:tblGrid>
      <w:tr>
        <w:tblPrEx>
          <w:tblLayout w:type="fixed"/>
          <w:tblCellMar>
            <w:top w:w="0" w:type="dxa"/>
            <w:left w:w="0" w:type="dxa"/>
            <w:bottom w:w="0" w:type="dxa"/>
            <w:right w:w="0" w:type="dxa"/>
          </w:tblCellMar>
        </w:tblPrEx>
        <w:trPr>
          <w:trHeight w:val="340" w:hRule="atLeast"/>
          <w:jc w:val="center"/>
        </w:trPr>
        <w:tc>
          <w:tcPr>
            <w:tcW w:w="9039" w:type="dxa"/>
            <w:gridSpan w:val="4"/>
            <w:tcBorders>
              <w:top w:val="single" w:color="auto" w:sz="8" w:space="0"/>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第二十条第（一）项</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w:t>
            </w:r>
            <w:r>
              <w:rPr>
                <w:rFonts w:hint="eastAsia" w:ascii="宋体" w:hAnsi="宋体" w:eastAsia="宋体" w:cs="宋体"/>
                <w:kern w:val="0"/>
                <w:sz w:val="20"/>
                <w:szCs w:val="20"/>
                <w:lang w:val="en-US" w:eastAsia="zh-CN" w:bidi="ar"/>
              </w:rPr>
              <w:t>制发件数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本年废止件数</w:t>
            </w:r>
          </w:p>
        </w:tc>
        <w:tc>
          <w:tcPr>
            <w:tcW w:w="2435"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现行有效件</w:t>
            </w:r>
            <w:r>
              <w:rPr>
                <w:rFonts w:hint="eastAsia" w:ascii="宋体" w:hAnsi="宋体" w:eastAsia="宋体" w:cs="宋体"/>
                <w:kern w:val="0"/>
                <w:sz w:val="20"/>
                <w:szCs w:val="20"/>
                <w:lang w:val="en-US" w:eastAsia="zh-CN" w:bidi="ar"/>
              </w:rPr>
              <w:t>数</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规章</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r>
      <w:tr>
        <w:tblPrEx>
          <w:shd w:val="clear" w:color="auto" w:fill="auto"/>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行政规范性文件</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c>
          <w:tcPr>
            <w:tcW w:w="2435"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0</w:t>
            </w:r>
          </w:p>
        </w:tc>
      </w:tr>
      <w:tr>
        <w:tblPrEx>
          <w:shd w:val="clear" w:color="auto" w:fill="auto"/>
          <w:tblLayout w:type="fixed"/>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第二十条第（五）项</w:t>
            </w:r>
          </w:p>
        </w:tc>
      </w:tr>
      <w:tr>
        <w:tblPrEx>
          <w:shd w:val="clear" w:color="auto" w:fill="auto"/>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本年处理决定数量</w:t>
            </w:r>
          </w:p>
        </w:tc>
      </w:tr>
      <w:tr>
        <w:tblPrEx>
          <w:shd w:val="clear" w:color="auto" w:fill="auto"/>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行政许可</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pPr>
            <w:r>
              <w:rPr>
                <w:rFonts w:hint="eastAsia" w:ascii="Calibri" w:hAnsi="Calibri" w:cs="Calibri"/>
                <w:kern w:val="0"/>
                <w:sz w:val="21"/>
                <w:szCs w:val="21"/>
                <w:lang w:val="en-US" w:eastAsia="zh-CN" w:bidi="ar"/>
              </w:rPr>
              <w:t>0</w:t>
            </w:r>
            <w:r>
              <w:rPr>
                <w:rFonts w:hint="default" w:ascii="Calibri" w:hAnsi="Calibri" w:eastAsia="仿宋" w:cs="Calibri"/>
                <w:kern w:val="0"/>
                <w:sz w:val="21"/>
                <w:szCs w:val="21"/>
                <w:lang w:val="en-US" w:eastAsia="zh-CN" w:bidi="ar"/>
              </w:rPr>
              <w:t> </w:t>
            </w:r>
          </w:p>
        </w:tc>
      </w:tr>
      <w:tr>
        <w:tblPrEx>
          <w:shd w:val="clear" w:color="auto" w:fill="auto"/>
          <w:tblLayout w:type="fixed"/>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第二十条第（六）项</w:t>
            </w:r>
          </w:p>
        </w:tc>
      </w:tr>
      <w:tr>
        <w:tblPrEx>
          <w:shd w:val="clear" w:color="auto" w:fill="auto"/>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color w:val="000000"/>
                <w:kern w:val="0"/>
                <w:sz w:val="20"/>
                <w:szCs w:val="20"/>
                <w:lang w:val="en-US" w:eastAsia="zh-CN" w:bidi="ar"/>
              </w:rPr>
              <w:t>本年处理决定数量</w:t>
            </w:r>
          </w:p>
        </w:tc>
      </w:tr>
      <w:tr>
        <w:tblPrEx>
          <w:shd w:val="clear" w:color="auto" w:fill="auto"/>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行政处罚</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pPr>
            <w:r>
              <w:rPr>
                <w:rFonts w:hint="eastAsia" w:ascii="Calibri" w:hAnsi="Calibri" w:cs="Calibri"/>
                <w:kern w:val="0"/>
                <w:sz w:val="21"/>
                <w:szCs w:val="21"/>
                <w:lang w:val="en-US" w:eastAsia="zh-CN" w:bidi="ar"/>
              </w:rPr>
              <w:t>5</w:t>
            </w:r>
          </w:p>
        </w:tc>
      </w:tr>
      <w:tr>
        <w:tblPrEx>
          <w:shd w:val="clear" w:color="auto" w:fill="auto"/>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行政强制</w:t>
            </w:r>
          </w:p>
        </w:tc>
        <w:tc>
          <w:tcPr>
            <w:tcW w:w="730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ind w:left="0" w:right="0"/>
              <w:jc w:val="center"/>
              <w:textAlignment w:val="auto"/>
              <w:outlineLvl w:val="9"/>
            </w:pPr>
            <w:r>
              <w:rPr>
                <w:rFonts w:hint="eastAsia" w:ascii="Calibri" w:hAnsi="Calibri" w:cs="Calibri"/>
                <w:kern w:val="0"/>
                <w:sz w:val="21"/>
                <w:szCs w:val="21"/>
                <w:lang w:val="en-US" w:eastAsia="zh-CN" w:bidi="ar"/>
              </w:rPr>
              <w:t>0</w:t>
            </w:r>
          </w:p>
        </w:tc>
      </w:tr>
      <w:tr>
        <w:tblPrEx>
          <w:tblLayout w:type="fixed"/>
          <w:tblCellMar>
            <w:top w:w="0" w:type="dxa"/>
            <w:left w:w="0" w:type="dxa"/>
            <w:bottom w:w="0" w:type="dxa"/>
            <w:right w:w="0" w:type="dxa"/>
          </w:tblCellMar>
        </w:tblPrEx>
        <w:trPr>
          <w:trHeight w:val="340" w:hRule="atLeast"/>
          <w:jc w:val="center"/>
        </w:trPr>
        <w:tc>
          <w:tcPr>
            <w:tcW w:w="9039" w:type="dxa"/>
            <w:gridSpan w:val="4"/>
            <w:tcBorders>
              <w:top w:val="nil"/>
              <w:left w:val="single" w:color="auto" w:sz="8" w:space="0"/>
              <w:bottom w:val="single" w:color="auto" w:sz="8" w:space="0"/>
              <w:right w:val="single" w:color="auto" w:sz="8" w:space="0"/>
            </w:tcBorders>
            <w:shd w:val="clear" w:color="auto" w:fill="C6D9F1"/>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第二十条第（八）项</w:t>
            </w:r>
          </w:p>
        </w:tc>
      </w:tr>
      <w:tr>
        <w:tblPrEx>
          <w:shd w:val="clear" w:color="auto" w:fill="auto"/>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信息内容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color w:val="000000"/>
                <w:kern w:val="0"/>
                <w:sz w:val="20"/>
                <w:szCs w:val="20"/>
                <w:lang w:val="en-US" w:eastAsia="zh-CN" w:bidi="ar"/>
              </w:rPr>
              <w:t>本年收费金额（单位：万元）</w:t>
            </w:r>
          </w:p>
        </w:tc>
      </w:tr>
      <w:tr>
        <w:tblPrEx>
          <w:tblLayout w:type="fixed"/>
          <w:tblCellMar>
            <w:top w:w="0" w:type="dxa"/>
            <w:left w:w="0" w:type="dxa"/>
            <w:bottom w:w="0" w:type="dxa"/>
            <w:right w:w="0" w:type="dxa"/>
          </w:tblCellMar>
        </w:tblPrEx>
        <w:trPr>
          <w:trHeight w:val="340" w:hRule="atLeast"/>
          <w:jc w:val="center"/>
        </w:trPr>
        <w:tc>
          <w:tcPr>
            <w:tcW w:w="1734"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color w:val="000000"/>
                <w:kern w:val="0"/>
                <w:sz w:val="20"/>
                <w:szCs w:val="20"/>
                <w:lang w:val="en-US" w:eastAsia="zh-CN" w:bidi="ar"/>
              </w:rPr>
              <w:t>行政事业性收费</w:t>
            </w:r>
          </w:p>
        </w:tc>
        <w:tc>
          <w:tcPr>
            <w:tcW w:w="730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pPr>
              <w:jc w:val="center"/>
              <w:rPr>
                <w:rFonts w:hint="eastAsia" w:ascii="宋体" w:eastAsia="仿宋"/>
                <w:sz w:val="24"/>
                <w:szCs w:val="24"/>
                <w:lang w:val="en-US" w:eastAsia="zh-CN"/>
              </w:rPr>
            </w:pPr>
            <w:r>
              <w:rPr>
                <w:rFonts w:hint="eastAsia" w:ascii="宋体"/>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before="176" w:beforeLines="30" w:after="118" w:afterLines="20"/>
        <w:ind w:firstLine="632" w:firstLineChars="200"/>
        <w:textAlignment w:val="auto"/>
        <w:outlineLvl w:val="9"/>
        <w:rPr>
          <w:rFonts w:hint="default" w:ascii="黑体" w:hAnsi="黑体" w:eastAsia="黑体" w:cs="黑体"/>
          <w:lang w:val="en-US" w:eastAsia="zh-CN"/>
        </w:rPr>
      </w:pPr>
      <w:r>
        <w:rPr>
          <w:rFonts w:hint="eastAsia" w:ascii="黑体" w:hAnsi="黑体" w:eastAsia="黑体" w:cs="黑体"/>
          <w:lang w:val="en-US" w:eastAsia="zh-CN"/>
        </w:rPr>
        <w:t>三、行政机关收到和处理政府信息公开申请情况</w:t>
      </w:r>
    </w:p>
    <w:tbl>
      <w:tblPr>
        <w:tblStyle w:val="8"/>
        <w:tblW w:w="9048" w:type="dxa"/>
        <w:jc w:val="center"/>
        <w:tblInd w:w="469"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818"/>
        <w:gridCol w:w="835"/>
        <w:gridCol w:w="2579"/>
        <w:gridCol w:w="688"/>
        <w:gridCol w:w="688"/>
        <w:gridCol w:w="688"/>
        <w:gridCol w:w="688"/>
        <w:gridCol w:w="688"/>
        <w:gridCol w:w="688"/>
        <w:gridCol w:w="688"/>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vMerge w:val="restart"/>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ascii="楷体" w:hAnsi="楷体" w:eastAsia="楷体" w:cs="楷体"/>
                <w:kern w:val="0"/>
                <w:sz w:val="20"/>
                <w:szCs w:val="20"/>
                <w:lang w:val="en-US" w:eastAsia="zh-CN" w:bidi="ar"/>
              </w:rPr>
              <w:t>（本列数据的勾稽关系为：第一项加第二项之和，等于第三项加第四项之和）</w:t>
            </w:r>
          </w:p>
        </w:tc>
        <w:tc>
          <w:tcPr>
            <w:tcW w:w="4816"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68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自然人</w:t>
            </w:r>
          </w:p>
        </w:tc>
        <w:tc>
          <w:tcPr>
            <w:tcW w:w="3440" w:type="dxa"/>
            <w:gridSpan w:val="5"/>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法人或其他组织</w:t>
            </w:r>
          </w:p>
        </w:tc>
        <w:tc>
          <w:tcPr>
            <w:tcW w:w="688" w:type="dxa"/>
            <w:vMerge w:val="restart"/>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232" w:type="dxa"/>
            <w:gridSpan w:val="3"/>
            <w:vMerge w:val="continue"/>
            <w:tcBorders>
              <w:top w:val="single" w:color="auto" w:sz="8" w:space="0"/>
              <w:left w:val="single" w:color="auto" w:sz="8" w:space="0"/>
              <w:bottom w:val="outset"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68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商业</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企业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科研</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社会公益组织</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法律服务机构</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center"/>
              <w:textAlignment w:val="auto"/>
              <w:outlineLvl w:val="9"/>
            </w:pPr>
            <w:r>
              <w:rPr>
                <w:rFonts w:hint="eastAsia" w:ascii="宋体" w:hAnsi="宋体" w:eastAsia="宋体" w:cs="宋体"/>
                <w:kern w:val="0"/>
                <w:sz w:val="20"/>
                <w:szCs w:val="20"/>
                <w:lang w:val="en-US" w:eastAsia="zh-CN" w:bidi="ar"/>
              </w:rPr>
              <w:t>其他</w:t>
            </w:r>
          </w:p>
        </w:tc>
        <w:tc>
          <w:tcPr>
            <w:tcW w:w="688" w:type="dxa"/>
            <w:vMerge w:val="continue"/>
            <w:tcBorders>
              <w:top w:val="single"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bookmarkStart w:id="0" w:name="OLE_LINK1" w:colFirst="1" w:colLast="7"/>
            <w:r>
              <w:rPr>
                <w:rFonts w:hint="eastAsia" w:ascii="宋体" w:hAnsi="宋体" w:eastAsia="宋体" w:cs="宋体"/>
                <w:kern w:val="0"/>
                <w:sz w:val="20"/>
                <w:szCs w:val="20"/>
                <w:lang w:val="en-US" w:eastAsia="zh-CN" w:bidi="ar"/>
              </w:rPr>
              <w:t>一、本年新收政府信息公开申请数量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r>
      <w:bookmarkEnd w:id="0"/>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二、上年结转政府信息公开申请数量</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default"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Theme="majorEastAsia" w:hAnsiTheme="majorEastAsia" w:eastAsiaTheme="majorEastAsia" w:cstheme="majorEastAsia"/>
                <w:sz w:val="22"/>
                <w:szCs w:val="22"/>
                <w:lang w:val="en-US" w:eastAsia="zh-CN"/>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restart"/>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三、本年度办理结果</w:t>
            </w: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（一）予以公开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宋体" w:hAnsi="宋体" w:eastAsia="宋体" w:cs="宋体"/>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宋体" w:hAnsi="宋体" w:eastAsia="宋体" w:cs="宋体"/>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宋体" w:hAnsi="宋体" w:eastAsia="宋体" w:cs="宋体"/>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宋体" w:hAnsi="宋体" w:eastAsia="宋体" w:cs="宋体"/>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宋体" w:hAnsi="宋体" w:eastAsia="宋体" w:cs="宋体"/>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宋体" w:hAnsi="宋体" w:eastAsia="宋体" w:cs="宋体"/>
                <w:sz w:val="22"/>
                <w:szCs w:val="22"/>
              </w:rPr>
            </w:pPr>
            <w:r>
              <w:rPr>
                <w:rFonts w:hint="eastAsia" w:ascii="宋体" w:hAnsi="宋体" w:eastAsia="宋体" w:cs="宋体"/>
                <w:sz w:val="22"/>
                <w:szCs w:val="22"/>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jc w:val="center"/>
              <w:textAlignment w:val="auto"/>
              <w:outlineLvl w:val="9"/>
              <w:rPr>
                <w:rFonts w:hint="eastAsia" w:ascii="宋体" w:hAnsi="宋体" w:eastAsia="宋体" w:cs="宋体"/>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（二）部分公开</w:t>
            </w:r>
            <w:r>
              <w:rPr>
                <w:rFonts w:hint="eastAsia" w:ascii="楷体" w:hAnsi="楷体" w:eastAsia="楷体" w:cs="楷体"/>
                <w:kern w:val="0"/>
                <w:sz w:val="20"/>
                <w:szCs w:val="20"/>
                <w:lang w:val="en-US" w:eastAsia="zh-CN" w:bidi="ar"/>
              </w:rPr>
              <w:t>（区分处理的，只计这一情形，不计其他情形）</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（三）不予公开</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1.属于国家秘密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2.其他法律行政法规禁止公开</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3.危及“三安全一稳定”</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4.保护第三方合法权益</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5.属于三类内部事务信息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6.属于四类过程性信息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7.属于行政执法案卷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8.属于行政查询事项</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（四）无法提供</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1.本机关不掌握相关政府信息</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2.没有现成信息需要另行制作</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3.补正后申请内容仍不明确</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restart"/>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（五）不予处理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1.信访举报投诉类申请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2.重复申请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3.要求提供公开出版物</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4.无正当理由大量反复申请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79" w:hRule="atLeast"/>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both"/>
              <w:textAlignment w:val="auto"/>
              <w:outlineLvl w:val="9"/>
            </w:pPr>
            <w:r>
              <w:rPr>
                <w:rFonts w:hint="eastAsia" w:ascii="宋体" w:hAnsi="宋体" w:eastAsia="宋体" w:cs="宋体"/>
                <w:kern w:val="0"/>
                <w:sz w:val="20"/>
                <w:szCs w:val="20"/>
                <w:lang w:val="en-US" w:eastAsia="zh-CN" w:bidi="ar"/>
              </w:rPr>
              <w:t>5.要求行政机关确认或重新出具已获取信息</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restart"/>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（六）其他处理</w:t>
            </w: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both"/>
              <w:textAlignment w:val="auto"/>
              <w:outlineLvl w:val="9"/>
            </w:pPr>
            <w:r>
              <w:rPr>
                <w:rFonts w:hint="eastAsia" w:ascii="宋体" w:hAnsi="宋体" w:eastAsia="宋体" w:cs="宋体"/>
                <w:kern w:val="0"/>
                <w:sz w:val="20"/>
                <w:szCs w:val="20"/>
                <w:lang w:val="en-US" w:eastAsia="zh-CN" w:bidi="ar"/>
              </w:rPr>
              <w:t>1.申请人无正当理由逾期不补正、行政机关不再处理其政府信息公开申请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lang w:val="en-US" w:eastAsia="zh-CN"/>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both"/>
              <w:textAlignment w:val="auto"/>
              <w:outlineLvl w:val="9"/>
            </w:pPr>
            <w:r>
              <w:rPr>
                <w:rFonts w:hint="eastAsia" w:ascii="宋体" w:hAnsi="宋体" w:eastAsia="宋体" w:cs="宋体"/>
                <w:kern w:val="0"/>
                <w:sz w:val="20"/>
                <w:szCs w:val="20"/>
                <w:lang w:val="en-US" w:eastAsia="zh-CN" w:bidi="ar"/>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835" w:type="dxa"/>
            <w:vMerge w:val="continue"/>
            <w:tcBorders>
              <w:top w:val="outset" w:color="auto" w:sz="8" w:space="0"/>
              <w:left w:val="nil"/>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2579"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3.其他</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Ex>
        <w:trPr>
          <w:jc w:val="center"/>
        </w:trPr>
        <w:tc>
          <w:tcPr>
            <w:tcW w:w="818" w:type="dxa"/>
            <w:vMerge w:val="continue"/>
            <w:tcBorders>
              <w:top w:val="nil"/>
              <w:left w:val="single" w:color="auto" w:sz="8" w:space="0"/>
              <w:bottom w:val="outset" w:color="auto" w:sz="8" w:space="0"/>
              <w:right w:val="single" w:color="auto" w:sz="8" w:space="0"/>
            </w:tcBorders>
            <w:shd w:val="clear" w:color="auto" w:fill="auto"/>
            <w:tcMar>
              <w:left w:w="57" w:type="dxa"/>
              <w:right w:w="57" w:type="dxa"/>
            </w:tcMar>
            <w:vAlign w:val="center"/>
          </w:tcPr>
          <w:p>
            <w:pPr>
              <w:keepNext w:val="0"/>
              <w:keepLines w:val="0"/>
              <w:pageBreakBefore w:val="0"/>
              <w:widowControl/>
              <w:kinsoku/>
              <w:wordWrap/>
              <w:overflowPunct/>
              <w:topLinePunct w:val="0"/>
              <w:autoSpaceDE/>
              <w:autoSpaceDN/>
              <w:bidi w:val="0"/>
              <w:adjustRightInd/>
              <w:snapToGrid/>
              <w:spacing w:line="300" w:lineRule="exact"/>
              <w:textAlignment w:val="auto"/>
              <w:outlineLvl w:val="9"/>
              <w:rPr>
                <w:rFonts w:hint="eastAsia" w:ascii="宋体"/>
                <w:sz w:val="24"/>
                <w:szCs w:val="24"/>
              </w:rPr>
            </w:pPr>
          </w:p>
        </w:tc>
        <w:tc>
          <w:tcPr>
            <w:tcW w:w="3414"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（七）总计</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4232"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right="0"/>
              <w:jc w:val="left"/>
              <w:textAlignment w:val="auto"/>
              <w:outlineLvl w:val="9"/>
            </w:pPr>
            <w:r>
              <w:rPr>
                <w:rFonts w:hint="eastAsia" w:ascii="宋体" w:hAnsi="宋体" w:eastAsia="宋体" w:cs="宋体"/>
                <w:kern w:val="0"/>
                <w:sz w:val="20"/>
                <w:szCs w:val="20"/>
                <w:lang w:val="en-US" w:eastAsia="zh-CN" w:bidi="ar"/>
              </w:rPr>
              <w:t>四、结转下年度继续办理</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c>
          <w:tcPr>
            <w:tcW w:w="688" w:type="dxa"/>
            <w:tcBorders>
              <w:top w:val="nil"/>
              <w:left w:val="nil"/>
              <w:bottom w:val="single" w:color="auto" w:sz="8" w:space="0"/>
              <w:right w:val="single" w:color="auto" w:sz="8" w:space="0"/>
            </w:tcBorders>
            <w:shd w:val="clear" w:color="auto" w:fill="auto"/>
            <w:tcMar>
              <w:left w:w="57" w:type="dxa"/>
              <w:right w:w="57" w:type="dxa"/>
            </w:tcMar>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jc w:val="center"/>
              <w:textAlignment w:val="auto"/>
              <w:outlineLvl w:val="9"/>
              <w:rPr>
                <w:rFonts w:hint="eastAsia" w:asciiTheme="majorEastAsia" w:hAnsiTheme="majorEastAsia" w:eastAsiaTheme="majorEastAsia" w:cstheme="majorEastAsia"/>
                <w:sz w:val="22"/>
                <w:szCs w:val="22"/>
              </w:rPr>
            </w:pPr>
            <w:r>
              <w:rPr>
                <w:rFonts w:hint="eastAsia" w:ascii="宋体" w:hAnsi="宋体" w:eastAsia="宋体" w:cs="宋体"/>
                <w:sz w:val="22"/>
                <w:szCs w:val="22"/>
              </w:rPr>
              <w:t>0</w:t>
            </w:r>
          </w:p>
        </w:tc>
      </w:tr>
    </w:tbl>
    <w:p>
      <w:pPr>
        <w:keepNext w:val="0"/>
        <w:keepLines w:val="0"/>
        <w:pageBreakBefore w:val="0"/>
        <w:widowControl w:val="0"/>
        <w:kinsoku/>
        <w:wordWrap/>
        <w:overflowPunct/>
        <w:topLinePunct w:val="0"/>
        <w:autoSpaceDE/>
        <w:autoSpaceDN/>
        <w:bidi w:val="0"/>
        <w:adjustRightInd/>
        <w:snapToGrid/>
        <w:ind w:firstLine="608" w:firstLineChars="200"/>
        <w:textAlignment w:val="auto"/>
        <w:outlineLvl w:val="9"/>
        <w:rPr>
          <w:rFonts w:hint="default" w:ascii="仿宋" w:hAnsi="仿宋" w:eastAsia="仿宋_GB2312" w:cs="仿宋"/>
          <w:highlight w:val="cyan"/>
          <w:lang w:val="en-US" w:eastAsia="zh-CN"/>
        </w:rPr>
      </w:pPr>
      <w:r>
        <w:rPr>
          <w:rFonts w:hint="eastAsia" w:ascii="黑体" w:hAnsi="黑体" w:eastAsia="黑体" w:cs="黑体"/>
          <w:spacing w:val="-6"/>
          <w:lang w:val="en-US" w:eastAsia="zh-CN"/>
        </w:rPr>
        <w:t>四、因政府信息公开工作被申请行政复议、提起行政诉讼情况</w:t>
      </w:r>
    </w:p>
    <w:tbl>
      <w:tblPr>
        <w:tblStyle w:val="9"/>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619"/>
        <w:gridCol w:w="619"/>
        <w:gridCol w:w="619"/>
        <w:gridCol w:w="619"/>
        <w:gridCol w:w="619"/>
        <w:gridCol w:w="619"/>
        <w:gridCol w:w="619"/>
        <w:gridCol w:w="619"/>
        <w:gridCol w:w="619"/>
        <w:gridCol w:w="619"/>
        <w:gridCol w:w="619"/>
        <w:gridCol w:w="619"/>
        <w:gridCol w:w="620"/>
        <w:gridCol w:w="620"/>
        <w:gridCol w:w="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3095"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行政复议</w:t>
            </w:r>
          </w:p>
        </w:tc>
        <w:tc>
          <w:tcPr>
            <w:tcW w:w="6193" w:type="dxa"/>
            <w:gridSpan w:val="1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行政诉讼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结果维持</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19" w:type="dxa"/>
            <w:vMerge w:val="restart"/>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c>
          <w:tcPr>
            <w:tcW w:w="3095"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未经复议直接起诉</w:t>
            </w:r>
          </w:p>
        </w:tc>
        <w:tc>
          <w:tcPr>
            <w:tcW w:w="3098" w:type="dxa"/>
            <w:gridSpan w:val="5"/>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复议后起诉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p>
        </w:tc>
        <w:tc>
          <w:tcPr>
            <w:tcW w:w="61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维持</w:t>
            </w:r>
          </w:p>
        </w:tc>
        <w:tc>
          <w:tcPr>
            <w:tcW w:w="619"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结果</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纠正</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其他</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结果</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尚未</w:t>
            </w:r>
            <w:r>
              <w:rPr>
                <w:rFonts w:hint="eastAsia" w:ascii="宋体" w:hAnsi="宋体" w:eastAsia="宋体" w:cs="宋体"/>
                <w:kern w:val="0"/>
                <w:sz w:val="20"/>
                <w:szCs w:val="20"/>
                <w:lang w:val="en-US" w:eastAsia="zh-CN" w:bidi="ar"/>
              </w:rPr>
              <w:br w:type="textWrapping"/>
            </w:r>
            <w:r>
              <w:rPr>
                <w:rFonts w:hint="eastAsia" w:ascii="宋体" w:hAnsi="宋体" w:eastAsia="宋体" w:cs="宋体"/>
                <w:kern w:val="0"/>
                <w:sz w:val="20"/>
                <w:szCs w:val="20"/>
                <w:lang w:val="en-US" w:eastAsia="zh-CN" w:bidi="ar"/>
              </w:rPr>
              <w:t>审结</w:t>
            </w:r>
          </w:p>
        </w:tc>
        <w:tc>
          <w:tcPr>
            <w:tcW w:w="620" w:type="dxa"/>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00" w:lineRule="exact"/>
              <w:ind w:left="0" w:leftChars="0" w:right="0" w:rightChars="0" w:firstLine="0" w:firstLineChars="0"/>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0" w:hRule="atLeast"/>
          <w:jc w:val="center"/>
        </w:trPr>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1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c>
          <w:tcPr>
            <w:tcW w:w="6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kern w:val="0"/>
                <w:sz w:val="20"/>
                <w:szCs w:val="20"/>
                <w:lang w:val="en-US" w:eastAsia="zh-CN" w:bidi="ar"/>
              </w:rPr>
            </w:pPr>
            <w:r>
              <w:rPr>
                <w:rFonts w:hint="eastAsia" w:ascii="宋体" w:hAnsi="宋体" w:eastAsia="宋体" w:cs="宋体"/>
                <w:kern w:val="0"/>
                <w:sz w:val="20"/>
                <w:szCs w:val="20"/>
                <w:lang w:val="en-US" w:eastAsia="zh-CN" w:bidi="ar"/>
              </w:rPr>
              <w:t>0</w:t>
            </w:r>
          </w:p>
        </w:tc>
      </w:tr>
    </w:tbl>
    <w:p>
      <w:pPr>
        <w:keepNext w:val="0"/>
        <w:keepLines w:val="0"/>
        <w:pageBreakBefore w:val="0"/>
        <w:widowControl w:val="0"/>
        <w:kinsoku/>
        <w:wordWrap/>
        <w:overflowPunct/>
        <w:topLinePunct w:val="0"/>
        <w:autoSpaceDE/>
        <w:autoSpaceDN/>
        <w:bidi w:val="0"/>
        <w:adjustRightInd/>
        <w:snapToGrid/>
        <w:spacing w:before="176" w:beforeLines="30" w:after="118" w:afterLines="20"/>
        <w:ind w:firstLine="632" w:firstLineChars="200"/>
        <w:textAlignment w:val="auto"/>
        <w:outlineLvl w:val="9"/>
        <w:rPr>
          <w:rFonts w:hint="default" w:ascii="黑体" w:hAnsi="黑体" w:eastAsia="黑体" w:cs="黑体"/>
          <w:lang w:val="en-US" w:eastAsia="zh-CN"/>
        </w:rPr>
      </w:pPr>
      <w:r>
        <w:rPr>
          <w:rFonts w:hint="eastAsia" w:ascii="黑体" w:hAnsi="黑体" w:eastAsia="黑体" w:cs="黑体"/>
          <w:lang w:val="en-US" w:eastAsia="zh-CN"/>
        </w:rPr>
        <w:t>五、政府信息公开工作存在的主要问题及改进情况</w:t>
      </w:r>
    </w:p>
    <w:p>
      <w:pPr>
        <w:keepNext w:val="0"/>
        <w:keepLines w:val="0"/>
        <w:pageBreakBefore w:val="0"/>
        <w:widowControl w:val="0"/>
        <w:kinsoku/>
        <w:wordWrap/>
        <w:overflowPunct/>
        <w:topLinePunct w:val="0"/>
        <w:autoSpaceDE/>
        <w:autoSpaceDN/>
        <w:bidi w:val="0"/>
        <w:adjustRightInd/>
        <w:snapToGrid/>
        <w:spacing w:before="176" w:beforeLines="30" w:after="118" w:afterLines="20"/>
        <w:ind w:firstLine="632" w:firstLineChars="200"/>
        <w:textAlignment w:val="auto"/>
        <w:outlineLvl w:val="9"/>
        <w:rPr>
          <w:rFonts w:hint="eastAsia" w:ascii="仿宋" w:hAnsi="仿宋" w:eastAsia="仿宋_GB2312" w:cs="仿宋"/>
          <w:highlight w:val="none"/>
          <w:lang w:val="en-US" w:eastAsia="zh-CN"/>
        </w:rPr>
      </w:pPr>
      <w:r>
        <w:rPr>
          <w:rFonts w:hint="eastAsia" w:ascii="仿宋" w:hAnsi="仿宋" w:eastAsia="仿宋_GB2312" w:cs="仿宋"/>
          <w:highlight w:val="none"/>
          <w:lang w:val="en-US" w:eastAsia="zh-CN"/>
        </w:rPr>
        <w:t>在2021年政府信息公开工作中，我局发现了一些问题和不足，主要表现在：一是信息主动公开不够及时全面。一些重点领域信息公开内容发布不及时，不全面；二是政策解读形式较单一，缺少图片、动画、视频等多媒体解读材料；三是规范化标准化还有差距。一些细节方面做得还不够到位。如政策文件和文件解读之间链接跳转不及时，不清晰的现象仍有存在。2022年，我局将深入贯彻落实市委、市政府关于政务公开工作的安排部署，针对存在的问题和不足，重点做好以下工作：一是进一步加大主动公开力度。根据主动公开基本目录，立足医疗保障工作，做细做实信息的主动公开工作，拓展主动公开工作的广度深度；二是进一步优化政策解读质量。积极主动丰富政策解读形式，针对热点、难点、关切点的政策调整进行重点解读，规范解读程序，提高解读水平；三是加强政府信息公开工作的业务学习，提升相关业务能力。</w:t>
      </w:r>
    </w:p>
    <w:p>
      <w:pPr>
        <w:keepNext w:val="0"/>
        <w:keepLines w:val="0"/>
        <w:pageBreakBefore w:val="0"/>
        <w:widowControl w:val="0"/>
        <w:kinsoku/>
        <w:wordWrap/>
        <w:overflowPunct/>
        <w:topLinePunct w:val="0"/>
        <w:autoSpaceDE/>
        <w:autoSpaceDN/>
        <w:bidi w:val="0"/>
        <w:adjustRightInd/>
        <w:snapToGrid/>
        <w:spacing w:before="176" w:beforeLines="30" w:after="118" w:afterLines="20"/>
        <w:ind w:firstLine="632" w:firstLineChars="200"/>
        <w:textAlignment w:val="auto"/>
        <w:outlineLvl w:val="9"/>
        <w:rPr>
          <w:rFonts w:hint="default" w:ascii="黑体" w:hAnsi="黑体" w:eastAsia="黑体" w:cs="黑体"/>
          <w:lang w:val="en-US" w:eastAsia="zh-CN"/>
        </w:rPr>
      </w:pPr>
      <w:r>
        <w:rPr>
          <w:rFonts w:hint="eastAsia" w:ascii="黑体" w:hAnsi="黑体" w:eastAsia="黑体" w:cs="黑体"/>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ind w:firstLine="632" w:firstLineChars="200"/>
        <w:textAlignment w:val="auto"/>
        <w:outlineLvl w:val="9"/>
        <w:rPr>
          <w:rFonts w:hint="eastAsia" w:ascii="仿宋" w:hAnsi="仿宋" w:eastAsia="仿宋_GB2312" w:cs="仿宋"/>
          <w:highlight w:val="none"/>
          <w:lang w:val="en-US" w:eastAsia="zh-CN"/>
        </w:rPr>
      </w:pPr>
      <w:r>
        <w:rPr>
          <w:rFonts w:hint="eastAsia" w:ascii="仿宋" w:hAnsi="仿宋" w:eastAsia="仿宋_GB2312" w:cs="仿宋"/>
          <w:highlight w:val="none"/>
          <w:lang w:val="en-US" w:eastAsia="zh-CN"/>
        </w:rPr>
        <w:t>2021年度市医疗保障局无其他需要报告的事项。</w:t>
      </w:r>
    </w:p>
    <w:p>
      <w:pPr>
        <w:pStyle w:val="2"/>
        <w:rPr>
          <w:rFonts w:hint="eastAsia" w:ascii="仿宋" w:hAnsi="仿宋" w:eastAsia="仿宋_GB2312" w:cs="仿宋"/>
          <w:highlight w:val="none"/>
          <w:lang w:val="en-US" w:eastAsia="zh-CN"/>
        </w:rPr>
      </w:pPr>
    </w:p>
    <w:p>
      <w:pPr>
        <w:pStyle w:val="2"/>
        <w:rPr>
          <w:rFonts w:hint="eastAsia" w:ascii="仿宋" w:hAnsi="仿宋" w:eastAsia="仿宋_GB2312" w:cs="仿宋"/>
          <w:highlight w:val="none"/>
          <w:lang w:val="en-US" w:eastAsia="zh-CN"/>
        </w:rPr>
      </w:pPr>
    </w:p>
    <w:p>
      <w:pPr>
        <w:keepNext w:val="0"/>
        <w:keepLines w:val="0"/>
        <w:pageBreakBefore w:val="0"/>
        <w:widowControl/>
        <w:kinsoku/>
        <w:wordWrap/>
        <w:overflowPunct/>
        <w:topLinePunct w:val="0"/>
        <w:autoSpaceDE/>
        <w:autoSpaceDN/>
        <w:bidi w:val="0"/>
        <w:adjustRightInd/>
        <w:snapToGrid/>
        <w:spacing w:line="520" w:lineRule="exact"/>
        <w:ind w:firstLine="632" w:firstLineChars="200"/>
        <w:jc w:val="righ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 樟树市医疗保障局</w:t>
      </w:r>
    </w:p>
    <w:p>
      <w:pPr>
        <w:keepNext w:val="0"/>
        <w:keepLines w:val="0"/>
        <w:pageBreakBefore w:val="0"/>
        <w:widowControl/>
        <w:kinsoku/>
        <w:wordWrap/>
        <w:overflowPunct/>
        <w:topLinePunct w:val="0"/>
        <w:autoSpaceDE/>
        <w:autoSpaceDN/>
        <w:bidi w:val="0"/>
        <w:adjustRightInd/>
        <w:snapToGrid/>
        <w:spacing w:line="520" w:lineRule="exact"/>
        <w:ind w:firstLine="632" w:firstLineChars="200"/>
        <w:jc w:val="right"/>
        <w:textAlignment w:val="auto"/>
        <w:rPr>
          <w:rFonts w:hint="default" w:ascii="仿宋" w:hAnsi="仿宋" w:eastAsia="仿宋_GB2312" w:cs="仿宋"/>
          <w:highlight w:val="cyan"/>
          <w:lang w:val="en-US" w:eastAsia="zh-CN"/>
        </w:rPr>
      </w:pPr>
      <w:r>
        <w:rPr>
          <w:rFonts w:hint="eastAsia" w:ascii="仿宋_GB2312" w:hAnsi="仿宋_GB2312" w:eastAsia="仿宋_GB2312" w:cs="仿宋_GB2312"/>
          <w:sz w:val="32"/>
          <w:szCs w:val="32"/>
          <w:lang w:eastAsia="zh-CN"/>
        </w:rPr>
        <w:t>2022年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lang w:eastAsia="zh-CN"/>
        </w:rPr>
        <w:t>日</w:t>
      </w:r>
    </w:p>
    <w:sectPr>
      <w:footerReference r:id="rId3" w:type="default"/>
      <w:pgSz w:w="11906" w:h="16838"/>
      <w:pgMar w:top="1417" w:right="1417" w:bottom="1417" w:left="1417" w:header="907" w:footer="907"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宋体" w:hAnsi="宋体" w:eastAsia="宋体" w:cs="宋体"/>
        <w:sz w:val="28"/>
        <w:szCs w:val="28"/>
        <w:lang w:val="en-US" w:eastAsia="zh-CN"/>
      </w:rPr>
    </w:pPr>
    <w:r>
      <w:rPr>
        <w:rFonts w:hint="eastAsia" w:ascii="宋体" w:hAnsi="宋体" w:eastAsia="宋体" w:cs="宋体"/>
        <w:kern w:val="0"/>
        <w:sz w:val="28"/>
        <w:szCs w:val="28"/>
        <w:lang w:val="en-US" w:eastAsia="zh-CN"/>
      </w:rPr>
      <w:t>-</w:t>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zh-CN"/>
      </w:rPr>
      <w:fldChar w:fldCharType="begin"/>
    </w:r>
    <w:r>
      <w:rPr>
        <w:rFonts w:hint="eastAsia" w:ascii="宋体" w:hAnsi="宋体" w:eastAsia="宋体" w:cs="宋体"/>
        <w:kern w:val="0"/>
        <w:sz w:val="28"/>
        <w:szCs w:val="28"/>
        <w:lang w:val="zh-CN"/>
      </w:rPr>
      <w:instrText xml:space="preserve"> PAGE </w:instrText>
    </w:r>
    <w:r>
      <w:rPr>
        <w:rFonts w:hint="eastAsia" w:ascii="宋体" w:hAnsi="宋体" w:eastAsia="宋体" w:cs="宋体"/>
        <w:kern w:val="0"/>
        <w:sz w:val="28"/>
        <w:szCs w:val="28"/>
        <w:lang w:val="zh-CN"/>
      </w:rPr>
      <w:fldChar w:fldCharType="separate"/>
    </w:r>
    <w:r>
      <w:rPr>
        <w:rFonts w:hint="eastAsia" w:ascii="宋体" w:hAnsi="宋体" w:eastAsia="宋体" w:cs="宋体"/>
        <w:kern w:val="0"/>
        <w:sz w:val="28"/>
        <w:szCs w:val="28"/>
        <w:lang w:val="zh-CN"/>
      </w:rPr>
      <w:t>1</w:t>
    </w:r>
    <w:r>
      <w:rPr>
        <w:rFonts w:hint="eastAsia" w:ascii="宋体" w:hAnsi="宋体" w:eastAsia="宋体" w:cs="宋体"/>
        <w:kern w:val="0"/>
        <w:sz w:val="28"/>
        <w:szCs w:val="28"/>
        <w:lang w:val="zh-CN"/>
      </w:rPr>
      <w:fldChar w:fldCharType="end"/>
    </w:r>
    <w:r>
      <w:rPr>
        <w:rFonts w:hint="eastAsia" w:ascii="宋体" w:hAnsi="宋体" w:eastAsia="宋体" w:cs="宋体"/>
        <w:kern w:val="0"/>
        <w:sz w:val="28"/>
        <w:szCs w:val="28"/>
      </w:rPr>
      <w:t xml:space="preserve"> </w:t>
    </w:r>
    <w:r>
      <w:rPr>
        <w:rFonts w:hint="eastAsia" w:ascii="宋体" w:hAnsi="宋体" w:eastAsia="宋体" w:cs="宋体"/>
        <w:kern w:val="0"/>
        <w:sz w:val="28"/>
        <w:szCs w:val="28"/>
        <w:lang w:val="en-US" w:eastAsia="zh-CN"/>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embedSystemFonts/>
  <w:bordersDoNotSurroundHeader w:val="0"/>
  <w:bordersDoNotSurroundFooter w:val="0"/>
  <w:attachedTemplate r:id="rId1"/>
  <w:documentProtection w:enforcement="0"/>
  <w:defaultTabStop w:val="420"/>
  <w:drawingGridHorizontalSpacing w:val="158"/>
  <w:drawingGridVerticalSpacing w:val="29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5A4352"/>
    <w:rsid w:val="01787B1F"/>
    <w:rsid w:val="026D387F"/>
    <w:rsid w:val="05977AE0"/>
    <w:rsid w:val="05990091"/>
    <w:rsid w:val="07763E32"/>
    <w:rsid w:val="07F4584C"/>
    <w:rsid w:val="0BED0BAC"/>
    <w:rsid w:val="105A4352"/>
    <w:rsid w:val="106B23D7"/>
    <w:rsid w:val="138D1229"/>
    <w:rsid w:val="1A1E37D4"/>
    <w:rsid w:val="1ACC3F3E"/>
    <w:rsid w:val="1EEF2C3C"/>
    <w:rsid w:val="1FDE6FA7"/>
    <w:rsid w:val="206207B8"/>
    <w:rsid w:val="21B1139C"/>
    <w:rsid w:val="22512ACC"/>
    <w:rsid w:val="238B5A5F"/>
    <w:rsid w:val="24195F67"/>
    <w:rsid w:val="254F7E52"/>
    <w:rsid w:val="29637A34"/>
    <w:rsid w:val="2A9A13E9"/>
    <w:rsid w:val="2C27513E"/>
    <w:rsid w:val="2D134010"/>
    <w:rsid w:val="2EDD54D4"/>
    <w:rsid w:val="2F292C02"/>
    <w:rsid w:val="2F834A65"/>
    <w:rsid w:val="309E5BA9"/>
    <w:rsid w:val="33291A61"/>
    <w:rsid w:val="36B44F30"/>
    <w:rsid w:val="3759580B"/>
    <w:rsid w:val="37981F3C"/>
    <w:rsid w:val="37D50499"/>
    <w:rsid w:val="38701B1E"/>
    <w:rsid w:val="3A2B7EE4"/>
    <w:rsid w:val="3A4D6E28"/>
    <w:rsid w:val="3B033740"/>
    <w:rsid w:val="402F1C47"/>
    <w:rsid w:val="413E799B"/>
    <w:rsid w:val="41605AC0"/>
    <w:rsid w:val="42F457A6"/>
    <w:rsid w:val="44806327"/>
    <w:rsid w:val="481F2C88"/>
    <w:rsid w:val="4A6C6248"/>
    <w:rsid w:val="4D927E5E"/>
    <w:rsid w:val="4E6F5A93"/>
    <w:rsid w:val="4F302501"/>
    <w:rsid w:val="577656BC"/>
    <w:rsid w:val="5A594A49"/>
    <w:rsid w:val="5AB951B2"/>
    <w:rsid w:val="63604736"/>
    <w:rsid w:val="654E0832"/>
    <w:rsid w:val="689C2D04"/>
    <w:rsid w:val="6CD60491"/>
    <w:rsid w:val="71C051BF"/>
    <w:rsid w:val="73F77238"/>
    <w:rsid w:val="75D02165"/>
    <w:rsid w:val="76EE22E3"/>
    <w:rsid w:val="7B95253D"/>
    <w:rsid w:val="7C204079"/>
    <w:rsid w:val="7C457D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 w:asciiTheme="minorHAnsi" w:hAnsiTheme="minorHAnsi" w:cstheme="minorBidi"/>
      <w:kern w:val="2"/>
      <w:sz w:val="32"/>
      <w:szCs w:val="32"/>
      <w:lang w:val="en-US" w:eastAsia="zh-CN" w:bidi="ar-SA"/>
    </w:rPr>
  </w:style>
  <w:style w:type="character" w:default="1" w:styleId="6">
    <w:name w:val="Default Paragraph Font"/>
    <w:semiHidden/>
    <w:qFormat/>
    <w:uiPriority w:val="0"/>
  </w:style>
  <w:style w:type="table" w:default="1" w:styleId="8">
    <w:name w:val="Normal Table"/>
    <w:semiHidden/>
    <w:uiPriority w:val="0"/>
    <w:tblPr>
      <w:tblLayout w:type="fixed"/>
      <w:tblCellMar>
        <w:top w:w="0" w:type="dxa"/>
        <w:left w:w="108" w:type="dxa"/>
        <w:bottom w:w="0" w:type="dxa"/>
        <w:right w:w="108" w:type="dxa"/>
      </w:tblCellMar>
    </w:tblPr>
  </w:style>
  <w:style w:type="paragraph" w:customStyle="1" w:styleId="2">
    <w:name w:val="BodyText1I2"/>
    <w:basedOn w:val="1"/>
    <w:qFormat/>
    <w:uiPriority w:val="0"/>
    <w:pPr>
      <w:spacing w:line="240" w:lineRule="auto"/>
      <w:ind w:left="420" w:leftChars="200" w:firstLine="210"/>
      <w:jc w:val="both"/>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uiPriority w:val="0"/>
    <w:rPr>
      <w:color w:val="0000FF"/>
      <w:u w:val="single"/>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E:\&#12304;&#20449;&#24687;&#20844;&#24320;&#24180;&#24230;&#25253;&#21578;&#12305;\&#12304;&#27169;&#26495;&#12305;&#27167;&#26641;&#24066;XXXX2021&#24180;&#25919;&#24220;&#20449;&#24687;&#20844;&#24320;&#24037;&#20316;&#24180;&#24230;&#25253;&#21578;.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【模板】樟树市XXXX2021年政府信息公开工作年度报告.dotx</Template>
  <Pages>7</Pages>
  <Words>2695</Words>
  <Characters>2804</Characters>
  <Lines>0</Lines>
  <Paragraphs>0</Paragraphs>
  <TotalTime>3</TotalTime>
  <ScaleCrop>false</ScaleCrop>
  <LinksUpToDate>false</LinksUpToDate>
  <CharactersWithSpaces>2807</CharactersWithSpaces>
  <Application>WPS Office_10.1.0.7346_F1E327BC-269C-435d-A152-05C5408002CA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2021-12-23T00:52:00Z</dcterms:created>
  <dc:creator>Administrator</dc:creator>
  <cp:lastModifiedBy>puerT</cp:lastModifiedBy>
  <dcterms:modified xsi:type="dcterms:W3CDTF">2022-01-21T15:32:04Z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